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F4F39" w14:textId="2CE25A76" w:rsidR="007E6972" w:rsidRDefault="00B55695">
      <w:r>
        <w:t>Transfer Degree Guide Instructions</w:t>
      </w:r>
    </w:p>
    <w:p w14:paraId="7B4CBDEF" w14:textId="77777777" w:rsidR="00B55695" w:rsidRDefault="00B55695"/>
    <w:p w14:paraId="57492D33" w14:textId="2F610114" w:rsidR="00B55695" w:rsidRDefault="00B55695">
      <w:r>
        <w:t>Academic Unit Leaders and Advisors,</w:t>
      </w:r>
    </w:p>
    <w:p w14:paraId="3B7AA878" w14:textId="77777777" w:rsidR="00B55695" w:rsidRDefault="00B55695">
      <w:r>
        <w:t xml:space="preserve">As we advance towards the goal of regaining to the top transfer institution in Missouri (2024 goal), our relationship with OTC remains vital to our transfer student enrollment. Your area has a number of </w:t>
      </w:r>
      <w:proofErr w:type="gramStart"/>
      <w:r>
        <w:t>2+2 degree</w:t>
      </w:r>
      <w:proofErr w:type="gramEnd"/>
      <w:r>
        <w:t xml:space="preserve"> plan</w:t>
      </w:r>
      <w:r>
        <w:t>s with OTC that support us.  There are a few other</w:t>
      </w:r>
      <w:r>
        <w:t xml:space="preserve"> </w:t>
      </w:r>
      <w:r>
        <w:t xml:space="preserve">degree programs that we do not have plans but for which OTC students still want to purse when they transfer to MSU.  To assist both students and navigators at OTC in advising those students, we’ve established an advising resource. </w:t>
      </w:r>
    </w:p>
    <w:p w14:paraId="2324F2E9" w14:textId="77777777" w:rsidR="00B55695" w:rsidRDefault="00B55695"/>
    <w:p w14:paraId="5A3A381E" w14:textId="55BF208C" w:rsidR="00B55695" w:rsidRDefault="00B55695">
      <w:r>
        <w:t>A Transfer Degree Guide (TDG)</w:t>
      </w:r>
      <w:r w:rsidR="00CC61F4">
        <w:t xml:space="preserve"> is simply an advising resource which lists all OTC classes that directly transfer to MSU and meets a degree requirement.  This is not a 2+2 plan.  We need your review of TDGs that were developed by our OTC/MSU advisor, Donna Rebmann to confirm that these are accurate course equivalencies for students who wish to pursue a degree program you offer.</w:t>
      </w:r>
    </w:p>
    <w:p w14:paraId="3F7C9169" w14:textId="77777777" w:rsidR="00B55695" w:rsidRPr="00B55695" w:rsidRDefault="00B55695" w:rsidP="00B55695">
      <w:pPr>
        <w:numPr>
          <w:ilvl w:val="0"/>
          <w:numId w:val="1"/>
        </w:numPr>
        <w:shd w:val="clear" w:color="auto" w:fill="FFFFFF"/>
        <w:spacing w:beforeAutospacing="1"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Transfer Degree Guides (TDG) have been developed for all MSU majors that currently do not have a 2+2. The TDG encourages OTC degree completion and provides a list of all OTC classes that transfer and directly meet an MSU degree requirement.</w:t>
      </w:r>
    </w:p>
    <w:p w14:paraId="28E3490E" w14:textId="77777777" w:rsidR="00B55695" w:rsidRPr="00B55695" w:rsidRDefault="00B55695" w:rsidP="00B55695">
      <w:pPr>
        <w:numPr>
          <w:ilvl w:val="0"/>
          <w:numId w:val="1"/>
        </w:numPr>
        <w:shd w:val="clear" w:color="auto" w:fill="FFFFFF"/>
        <w:spacing w:beforeAutospacing="1"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The TDG indicates completion of the Associate of Arts degree or the Associate of Science degree. The Associate of Arts degree transfers and meets MSU's General Education requirements. The Associate of Science degree transfers and does not fully meet General Education requirements. OTC AS graduates have the following Core 42 courses to take/after transferring: 6 hours Humanities/Fine Arts, 3 hours Social/Behavioral Science, if they have not completed beyond what was required for their AS degree.</w:t>
      </w:r>
    </w:p>
    <w:p w14:paraId="327664BF" w14:textId="77777777" w:rsidR="00B55695" w:rsidRPr="00B55695" w:rsidRDefault="00B55695" w:rsidP="00B55695">
      <w:pPr>
        <w:numPr>
          <w:ilvl w:val="1"/>
          <w:numId w:val="1"/>
        </w:numPr>
        <w:shd w:val="clear" w:color="auto" w:fill="FFFFFF"/>
        <w:spacing w:beforeAutospacing="1"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 xml:space="preserve">For select majors within the College of Agriculture, Art, Design with extra courses - more OTC classes than needed for OTC degree completion - indicate which OTC classes are most important to take prior to </w:t>
      </w:r>
      <w:proofErr w:type="gramStart"/>
      <w:r w:rsidRPr="00B55695">
        <w:rPr>
          <w:rFonts w:ascii="Calibri" w:eastAsia="Times New Roman" w:hAnsi="Calibri" w:cs="Calibri"/>
          <w:color w:val="000000"/>
          <w:kern w:val="0"/>
          <w14:ligatures w14:val="none"/>
        </w:rPr>
        <w:t>transferring</w:t>
      </w:r>
      <w:proofErr w:type="gramEnd"/>
    </w:p>
    <w:p w14:paraId="0303B1E2" w14:textId="77777777" w:rsidR="00B55695" w:rsidRPr="00B55695" w:rsidRDefault="00B55695" w:rsidP="00B55695">
      <w:pPr>
        <w:numPr>
          <w:ilvl w:val="0"/>
          <w:numId w:val="1"/>
        </w:numPr>
        <w:shd w:val="clear" w:color="auto" w:fill="FFFFFF"/>
        <w:spacing w:before="100" w:beforeAutospacing="1" w:after="100"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If a student transfers with degree completion and has also completed all OTC courses listed on the TDG, is it possible to graduate from MSU in a two-year timeframe. Confirm or indicate removal of the upper lefthand corner "Finish in 4"/MSU degree completion in a two-year timeframe.</w:t>
      </w:r>
    </w:p>
    <w:p w14:paraId="3FCBCAF2" w14:textId="77777777" w:rsidR="00B55695" w:rsidRPr="00B55695" w:rsidRDefault="00B55695" w:rsidP="00B55695">
      <w:pPr>
        <w:numPr>
          <w:ilvl w:val="0"/>
          <w:numId w:val="1"/>
        </w:numPr>
        <w:shd w:val="clear" w:color="auto" w:fill="FFFFFF"/>
        <w:spacing w:before="100" w:beforeAutospacing="1" w:after="100"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 xml:space="preserve">Due to sequencing of MSU classes, indicate if it is absolutely necessary to transfer to MSU prior to OTC degree completion and/or if dual enrollment is absolutely necessary to ensure a more timely/efficient graduation from </w:t>
      </w:r>
      <w:proofErr w:type="gramStart"/>
      <w:r w:rsidRPr="00B55695">
        <w:rPr>
          <w:rFonts w:ascii="Calibri" w:eastAsia="Times New Roman" w:hAnsi="Calibri" w:cs="Calibri"/>
          <w:color w:val="000000"/>
          <w:kern w:val="0"/>
          <w14:ligatures w14:val="none"/>
        </w:rPr>
        <w:t>MSU</w:t>
      </w:r>
      <w:proofErr w:type="gramEnd"/>
      <w:r w:rsidRPr="00B55695">
        <w:rPr>
          <w:rFonts w:ascii="Calibri" w:eastAsia="Times New Roman" w:hAnsi="Calibri" w:cs="Calibri"/>
          <w:color w:val="000000"/>
          <w:kern w:val="0"/>
          <w14:ligatures w14:val="none"/>
        </w:rPr>
        <w:t> </w:t>
      </w:r>
    </w:p>
    <w:p w14:paraId="08358754" w14:textId="77777777" w:rsidR="00B55695" w:rsidRPr="00B55695" w:rsidRDefault="00B55695" w:rsidP="00B55695">
      <w:pPr>
        <w:numPr>
          <w:ilvl w:val="0"/>
          <w:numId w:val="1"/>
        </w:numPr>
        <w:shd w:val="clear" w:color="auto" w:fill="FFFFFF"/>
        <w:spacing w:before="100" w:beforeAutospacing="1" w:after="100" w:afterAutospacing="1"/>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 xml:space="preserve">Provide the designated Departmental Advisor's contact information - name, email, </w:t>
      </w:r>
      <w:proofErr w:type="gramStart"/>
      <w:r w:rsidRPr="00B55695">
        <w:rPr>
          <w:rFonts w:ascii="Calibri" w:eastAsia="Times New Roman" w:hAnsi="Calibri" w:cs="Calibri"/>
          <w:color w:val="000000"/>
          <w:kern w:val="0"/>
          <w14:ligatures w14:val="none"/>
        </w:rPr>
        <w:t>phone</w:t>
      </w:r>
      <w:proofErr w:type="gramEnd"/>
    </w:p>
    <w:p w14:paraId="08954ABB" w14:textId="77777777" w:rsidR="00B55695" w:rsidRPr="00B55695" w:rsidRDefault="00B55695" w:rsidP="00B55695">
      <w:pPr>
        <w:shd w:val="clear" w:color="auto" w:fill="FFFFFF"/>
        <w:rPr>
          <w:rFonts w:ascii="Calibri" w:eastAsia="Times New Roman" w:hAnsi="Calibri" w:cs="Calibri"/>
          <w:color w:val="000000"/>
          <w:kern w:val="0"/>
          <w14:ligatures w14:val="none"/>
        </w:rPr>
      </w:pPr>
    </w:p>
    <w:p w14:paraId="626097A9" w14:textId="77777777" w:rsidR="00B55695" w:rsidRPr="00B55695" w:rsidRDefault="00B55695" w:rsidP="00B55695">
      <w:pPr>
        <w:shd w:val="clear" w:color="auto" w:fill="FFFFFF"/>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As a reminder, with restructuring and upcoming changes, it was determined to indicate "major" Advisor instead of indicating the "Departmental" advisor. On the TDG, it will appear as shown below (using Agricultural Communications as an example):</w:t>
      </w:r>
    </w:p>
    <w:p w14:paraId="34A7A6A6" w14:textId="77777777" w:rsidR="00B55695" w:rsidRDefault="00B55695"/>
    <w:p w14:paraId="4CDADC50" w14:textId="77777777" w:rsidR="00B55695" w:rsidRDefault="00B55695"/>
    <w:p w14:paraId="33168B46" w14:textId="74FE6332" w:rsidR="00B55695" w:rsidRPr="00B55695" w:rsidRDefault="00B55695">
      <w:pPr>
        <w:rPr>
          <w:u w:val="single"/>
        </w:rPr>
      </w:pPr>
      <w:r w:rsidRPr="00B55695">
        <w:rPr>
          <w:u w:val="single"/>
        </w:rPr>
        <w:t>NOTES to specific departments/programs</w:t>
      </w:r>
    </w:p>
    <w:p w14:paraId="7D438149" w14:textId="77777777" w:rsidR="00B55695" w:rsidRDefault="00B55695" w:rsidP="00B55695">
      <w:pPr>
        <w:rPr>
          <w:rFonts w:ascii="Calibri" w:eastAsia="Times New Roman" w:hAnsi="Calibri" w:cs="Calibri"/>
          <w:color w:val="000000"/>
          <w:kern w:val="0"/>
          <w14:ligatures w14:val="none"/>
        </w:rPr>
      </w:pPr>
    </w:p>
    <w:p w14:paraId="5EEF10ED" w14:textId="492A77D2" w:rsidR="00B55695" w:rsidRPr="00B55695" w:rsidRDefault="00B55695" w:rsidP="00B55695">
      <w:pPr>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Recently, we received the news that BMS 307's prerequisite was changing from BIO 121 or BMS 110/111 to BIO 121 </w:t>
      </w:r>
      <w:r w:rsidRPr="00B55695">
        <w:rPr>
          <w:rFonts w:ascii="Calibri" w:eastAsia="Times New Roman" w:hAnsi="Calibri" w:cs="Calibri"/>
          <w:b/>
          <w:bCs/>
          <w:color w:val="000000"/>
          <w:kern w:val="0"/>
          <w14:ligatures w14:val="none"/>
        </w:rPr>
        <w:t>AND</w:t>
      </w:r>
      <w:r w:rsidRPr="00B55695">
        <w:rPr>
          <w:rFonts w:ascii="Calibri" w:eastAsia="Times New Roman" w:hAnsi="Calibri" w:cs="Calibri"/>
          <w:color w:val="000000"/>
          <w:kern w:val="0"/>
          <w14:ligatures w14:val="none"/>
        </w:rPr>
        <w:t>BIO 122 or BMS 110/111. I have learned that there are additional conversations regarding this prerequisite change with hopes the prerequisite remains BIO 121 or BMS 110/111.</w:t>
      </w:r>
    </w:p>
    <w:p w14:paraId="146939EE" w14:textId="77777777" w:rsidR="00B55695" w:rsidRPr="00B55695" w:rsidRDefault="00B55695" w:rsidP="00B55695">
      <w:pPr>
        <w:rPr>
          <w:rFonts w:ascii="Calibri" w:eastAsia="Times New Roman" w:hAnsi="Calibri" w:cs="Calibri"/>
          <w:color w:val="000000"/>
          <w:kern w:val="0"/>
          <w14:ligatures w14:val="none"/>
        </w:rPr>
      </w:pPr>
    </w:p>
    <w:p w14:paraId="23E00D2B" w14:textId="77777777" w:rsidR="00B55695" w:rsidRPr="00B55695" w:rsidRDefault="00B55695" w:rsidP="00B55695">
      <w:pPr>
        <w:rPr>
          <w:rFonts w:ascii="Calibri" w:eastAsia="Times New Roman" w:hAnsi="Calibri" w:cs="Calibri"/>
          <w:color w:val="000000"/>
          <w:kern w:val="0"/>
          <w14:ligatures w14:val="none"/>
        </w:rPr>
      </w:pPr>
      <w:r w:rsidRPr="00B55695">
        <w:rPr>
          <w:rFonts w:ascii="Calibri" w:eastAsia="Times New Roman" w:hAnsi="Calibri" w:cs="Calibri"/>
          <w:color w:val="000000"/>
          <w:kern w:val="0"/>
          <w14:ligatures w14:val="none"/>
        </w:rPr>
        <w:t>OTC does not offer an equivalent to BMS 110/111 or BMS 307. For the TDG's whose majors require BMS 307, OTC's BIO 160 (BIO 121) is listed. The additional BIO 170 (BIO 122) prerequisite has not been added. Until final prerequisite decisions are made, I did not want to add an extra OTC class should this end up not being required. This would be an additional item to confirm with the Departmental Advisors.</w:t>
      </w:r>
    </w:p>
    <w:p w14:paraId="00113725" w14:textId="77777777" w:rsidR="00B55695" w:rsidRDefault="00B55695"/>
    <w:sectPr w:rsidR="00B55695" w:rsidSect="00014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33561"/>
    <w:multiLevelType w:val="multilevel"/>
    <w:tmpl w:val="F03AA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265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95"/>
    <w:rsid w:val="00014550"/>
    <w:rsid w:val="000404B7"/>
    <w:rsid w:val="00395D0E"/>
    <w:rsid w:val="005D4470"/>
    <w:rsid w:val="007E6972"/>
    <w:rsid w:val="00B55695"/>
    <w:rsid w:val="00CC61F4"/>
    <w:rsid w:val="00CD2ADD"/>
    <w:rsid w:val="00E41AE4"/>
    <w:rsid w:val="00FF0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BD9BC4"/>
  <w15:chartTrackingRefBased/>
  <w15:docId w15:val="{0EDBF3AE-76F6-AA47-8DF2-02F04797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0">
    <w:name w:val="contentpasted0"/>
    <w:basedOn w:val="DefaultParagraphFont"/>
    <w:rsid w:val="00B55695"/>
  </w:style>
  <w:style w:type="paragraph" w:customStyle="1" w:styleId="contentpasted01">
    <w:name w:val="contentpasted01"/>
    <w:basedOn w:val="Normal"/>
    <w:rsid w:val="00B55695"/>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B55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405168">
      <w:bodyDiv w:val="1"/>
      <w:marLeft w:val="0"/>
      <w:marRight w:val="0"/>
      <w:marTop w:val="0"/>
      <w:marBottom w:val="0"/>
      <w:divBdr>
        <w:top w:val="none" w:sz="0" w:space="0" w:color="auto"/>
        <w:left w:val="none" w:sz="0" w:space="0" w:color="auto"/>
        <w:bottom w:val="none" w:sz="0" w:space="0" w:color="auto"/>
        <w:right w:val="none" w:sz="0" w:space="0" w:color="auto"/>
      </w:divBdr>
      <w:divsChild>
        <w:div w:id="2015912703">
          <w:marLeft w:val="0"/>
          <w:marRight w:val="0"/>
          <w:marTop w:val="0"/>
          <w:marBottom w:val="0"/>
          <w:divBdr>
            <w:top w:val="none" w:sz="0" w:space="0" w:color="auto"/>
            <w:left w:val="none" w:sz="0" w:space="0" w:color="auto"/>
            <w:bottom w:val="none" w:sz="0" w:space="0" w:color="auto"/>
            <w:right w:val="none" w:sz="0" w:space="0" w:color="auto"/>
          </w:divBdr>
        </w:div>
        <w:div w:id="1924219712">
          <w:marLeft w:val="0"/>
          <w:marRight w:val="0"/>
          <w:marTop w:val="0"/>
          <w:marBottom w:val="0"/>
          <w:divBdr>
            <w:top w:val="none" w:sz="0" w:space="0" w:color="auto"/>
            <w:left w:val="none" w:sz="0" w:space="0" w:color="auto"/>
            <w:bottom w:val="none" w:sz="0" w:space="0" w:color="auto"/>
            <w:right w:val="none" w:sz="0" w:space="0" w:color="auto"/>
          </w:divBdr>
        </w:div>
        <w:div w:id="84158847">
          <w:marLeft w:val="0"/>
          <w:marRight w:val="0"/>
          <w:marTop w:val="0"/>
          <w:marBottom w:val="0"/>
          <w:divBdr>
            <w:top w:val="none" w:sz="0" w:space="0" w:color="auto"/>
            <w:left w:val="none" w:sz="0" w:space="0" w:color="auto"/>
            <w:bottom w:val="none" w:sz="0" w:space="0" w:color="auto"/>
            <w:right w:val="none" w:sz="0" w:space="0" w:color="auto"/>
          </w:divBdr>
        </w:div>
      </w:divsChild>
    </w:div>
    <w:div w:id="2042632410">
      <w:bodyDiv w:val="1"/>
      <w:marLeft w:val="0"/>
      <w:marRight w:val="0"/>
      <w:marTop w:val="0"/>
      <w:marBottom w:val="0"/>
      <w:divBdr>
        <w:top w:val="none" w:sz="0" w:space="0" w:color="auto"/>
        <w:left w:val="none" w:sz="0" w:space="0" w:color="auto"/>
        <w:bottom w:val="none" w:sz="0" w:space="0" w:color="auto"/>
        <w:right w:val="none" w:sz="0" w:space="0" w:color="auto"/>
      </w:divBdr>
      <w:divsChild>
        <w:div w:id="1883321531">
          <w:marLeft w:val="0"/>
          <w:marRight w:val="0"/>
          <w:marTop w:val="0"/>
          <w:marBottom w:val="0"/>
          <w:divBdr>
            <w:top w:val="none" w:sz="0" w:space="0" w:color="auto"/>
            <w:left w:val="none" w:sz="0" w:space="0" w:color="auto"/>
            <w:bottom w:val="none" w:sz="0" w:space="0" w:color="auto"/>
            <w:right w:val="none" w:sz="0" w:space="0" w:color="auto"/>
          </w:divBdr>
        </w:div>
        <w:div w:id="209034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8CE721F4A02748BFC691C470F38622" ma:contentTypeVersion="5" ma:contentTypeDescription="Create a new document." ma:contentTypeScope="" ma:versionID="cfad3e636239e7d6de9978750803c329">
  <xsd:schema xmlns:xsd="http://www.w3.org/2001/XMLSchema" xmlns:xs="http://www.w3.org/2001/XMLSchema" xmlns:p="http://schemas.microsoft.com/office/2006/metadata/properties" xmlns:ns2="f4d36df7-61f4-4103-bd93-fd20d5d1e0d9" xmlns:ns3="8575c511-da40-4816-9e73-2b3ee7cc3aaf" targetNamespace="http://schemas.microsoft.com/office/2006/metadata/properties" ma:root="true" ma:fieldsID="14c83d3e521069d85ca6719bcdfc2b25" ns2:_="" ns3:_="">
    <xsd:import namespace="f4d36df7-61f4-4103-bd93-fd20d5d1e0d9"/>
    <xsd:import namespace="8575c511-da40-4816-9e73-2b3ee7cc3a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36df7-61f4-4103-bd93-fd20d5d1e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75c511-da40-4816-9e73-2b3ee7cc3a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6FAC9A-C851-483E-A81E-F907859562BE}"/>
</file>

<file path=customXml/itemProps2.xml><?xml version="1.0" encoding="utf-8"?>
<ds:datastoreItem xmlns:ds="http://schemas.openxmlformats.org/officeDocument/2006/customXml" ds:itemID="{C71E3614-FDF1-4B5D-B65F-045BC14F326A}"/>
</file>

<file path=customXml/itemProps3.xml><?xml version="1.0" encoding="utf-8"?>
<ds:datastoreItem xmlns:ds="http://schemas.openxmlformats.org/officeDocument/2006/customXml" ds:itemID="{3B596B7F-2301-4C52-99D1-86DFF5F9E550}"/>
</file>

<file path=docProps/app.xml><?xml version="1.0" encoding="utf-8"?>
<Properties xmlns="http://schemas.openxmlformats.org/officeDocument/2006/extended-properties" xmlns:vt="http://schemas.openxmlformats.org/officeDocument/2006/docPropsVTypes">
  <Template>Normal.dotm</Template>
  <TotalTime>19</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Kelly S</dc:creator>
  <cp:keywords/>
  <dc:description/>
  <cp:lastModifiedBy>Wood, Kelly S</cp:lastModifiedBy>
  <cp:revision>1</cp:revision>
  <dcterms:created xsi:type="dcterms:W3CDTF">2023-08-01T14:54:00Z</dcterms:created>
  <dcterms:modified xsi:type="dcterms:W3CDTF">2023-08-01T21:58:00Z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0x0101009F8CE721F4A02748BFC691C470F38622</vt:lpwstr>
  </property>
</Properties>
</file>