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10B69" w14:textId="77777777" w:rsidR="0015062D" w:rsidRPr="0015062D" w:rsidRDefault="0015062D" w:rsidP="0015062D">
      <w:pPr>
        <w:spacing w:after="0" w:line="276" w:lineRule="auto"/>
        <w:jc w:val="center"/>
        <w:rPr>
          <w:rFonts w:cstheme="minorHAnsi"/>
          <w:b/>
          <w:bCs/>
          <w:sz w:val="32"/>
          <w:szCs w:val="32"/>
        </w:rPr>
      </w:pPr>
      <w:r w:rsidRPr="0015062D">
        <w:rPr>
          <w:rFonts w:cstheme="minorHAnsi"/>
          <w:b/>
          <w:bCs/>
          <w:sz w:val="32"/>
          <w:szCs w:val="32"/>
        </w:rPr>
        <w:t>Domestic Adult Partner FAQs</w:t>
      </w:r>
    </w:p>
    <w:p w14:paraId="2E5F9489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Quick Links</w:t>
      </w:r>
    </w:p>
    <w:p w14:paraId="23D219FF" w14:textId="77777777" w:rsidR="0015062D" w:rsidRPr="0015062D" w:rsidRDefault="0015062D" w:rsidP="0015062D">
      <w:pPr>
        <w:numPr>
          <w:ilvl w:val="0"/>
          <w:numId w:val="9"/>
        </w:numPr>
        <w:spacing w:after="0" w:line="276" w:lineRule="auto"/>
        <w:rPr>
          <w:rFonts w:cstheme="minorHAnsi"/>
        </w:rPr>
      </w:pPr>
      <w:hyperlink w:anchor="eligibility" w:history="1">
        <w:r w:rsidRPr="0015062D">
          <w:rPr>
            <w:rStyle w:val="Hyperlink"/>
            <w:rFonts w:cstheme="minorHAnsi"/>
          </w:rPr>
          <w:t>Eligibility for Domestic P</w:t>
        </w:r>
        <w:r w:rsidRPr="0015062D">
          <w:rPr>
            <w:rStyle w:val="Hyperlink"/>
            <w:rFonts w:cstheme="minorHAnsi"/>
          </w:rPr>
          <w:t>a</w:t>
        </w:r>
        <w:r w:rsidRPr="0015062D">
          <w:rPr>
            <w:rStyle w:val="Hyperlink"/>
            <w:rFonts w:cstheme="minorHAnsi"/>
          </w:rPr>
          <w:t xml:space="preserve">rtner </w:t>
        </w:r>
        <w:r w:rsidRPr="0015062D">
          <w:rPr>
            <w:rStyle w:val="Hyperlink"/>
            <w:rFonts w:cstheme="minorHAnsi"/>
          </w:rPr>
          <w:t>B</w:t>
        </w:r>
        <w:r w:rsidRPr="0015062D">
          <w:rPr>
            <w:rStyle w:val="Hyperlink"/>
            <w:rFonts w:cstheme="minorHAnsi"/>
          </w:rPr>
          <w:t>enefits</w:t>
        </w:r>
      </w:hyperlink>
    </w:p>
    <w:p w14:paraId="4E3C1764" w14:textId="77777777" w:rsidR="0015062D" w:rsidRPr="0015062D" w:rsidRDefault="0015062D" w:rsidP="0015062D">
      <w:pPr>
        <w:numPr>
          <w:ilvl w:val="0"/>
          <w:numId w:val="9"/>
        </w:numPr>
        <w:spacing w:after="0" w:line="276" w:lineRule="auto"/>
        <w:rPr>
          <w:rFonts w:cstheme="minorHAnsi"/>
        </w:rPr>
      </w:pPr>
      <w:hyperlink w:anchor="available-benefits" w:history="1">
        <w:r w:rsidRPr="0015062D">
          <w:rPr>
            <w:rStyle w:val="Hyperlink"/>
            <w:rFonts w:cstheme="minorHAnsi"/>
          </w:rPr>
          <w:t>Available Be</w:t>
        </w:r>
        <w:r w:rsidRPr="0015062D">
          <w:rPr>
            <w:rStyle w:val="Hyperlink"/>
            <w:rFonts w:cstheme="minorHAnsi"/>
          </w:rPr>
          <w:t>n</w:t>
        </w:r>
        <w:r w:rsidRPr="0015062D">
          <w:rPr>
            <w:rStyle w:val="Hyperlink"/>
            <w:rFonts w:cstheme="minorHAnsi"/>
          </w:rPr>
          <w:t>efits</w:t>
        </w:r>
      </w:hyperlink>
    </w:p>
    <w:p w14:paraId="725A234D" w14:textId="77777777" w:rsidR="0015062D" w:rsidRPr="0015062D" w:rsidRDefault="0015062D" w:rsidP="0015062D">
      <w:pPr>
        <w:numPr>
          <w:ilvl w:val="0"/>
          <w:numId w:val="9"/>
        </w:numPr>
        <w:spacing w:after="0" w:line="276" w:lineRule="auto"/>
        <w:rPr>
          <w:rFonts w:cstheme="minorHAnsi"/>
        </w:rPr>
      </w:pPr>
      <w:hyperlink w:anchor="when-to-enroll" w:history="1">
        <w:r w:rsidRPr="0015062D">
          <w:rPr>
            <w:rStyle w:val="Hyperlink"/>
            <w:rFonts w:cstheme="minorHAnsi"/>
          </w:rPr>
          <w:t>When to Enroll</w:t>
        </w:r>
      </w:hyperlink>
    </w:p>
    <w:p w14:paraId="07094839" w14:textId="77777777" w:rsidR="0015062D" w:rsidRPr="0015062D" w:rsidRDefault="0015062D" w:rsidP="0015062D">
      <w:pPr>
        <w:numPr>
          <w:ilvl w:val="0"/>
          <w:numId w:val="9"/>
        </w:numPr>
        <w:spacing w:after="0" w:line="276" w:lineRule="auto"/>
        <w:rPr>
          <w:rFonts w:cstheme="minorHAnsi"/>
        </w:rPr>
      </w:pPr>
      <w:hyperlink w:anchor="effective-date" w:history="1">
        <w:r w:rsidRPr="0015062D">
          <w:rPr>
            <w:rStyle w:val="Hyperlink"/>
            <w:rFonts w:cstheme="minorHAnsi"/>
          </w:rPr>
          <w:t>Coverage Effective Date</w:t>
        </w:r>
      </w:hyperlink>
    </w:p>
    <w:p w14:paraId="0A2460F1" w14:textId="77777777" w:rsidR="0015062D" w:rsidRPr="0015062D" w:rsidRDefault="0015062D" w:rsidP="0015062D">
      <w:pPr>
        <w:numPr>
          <w:ilvl w:val="0"/>
          <w:numId w:val="9"/>
        </w:numPr>
        <w:spacing w:after="0" w:line="276" w:lineRule="auto"/>
        <w:rPr>
          <w:rFonts w:cstheme="minorHAnsi"/>
        </w:rPr>
      </w:pPr>
      <w:hyperlink w:anchor="children" w:history="1">
        <w:r w:rsidRPr="0015062D">
          <w:rPr>
            <w:rStyle w:val="Hyperlink"/>
            <w:rFonts w:cstheme="minorHAnsi"/>
          </w:rPr>
          <w:t>Children of Domestic Partners</w:t>
        </w:r>
      </w:hyperlink>
    </w:p>
    <w:p w14:paraId="30A7B3CD" w14:textId="77777777" w:rsidR="0015062D" w:rsidRPr="0015062D" w:rsidRDefault="0015062D" w:rsidP="0015062D">
      <w:pPr>
        <w:numPr>
          <w:ilvl w:val="0"/>
          <w:numId w:val="9"/>
        </w:numPr>
        <w:spacing w:after="0" w:line="276" w:lineRule="auto"/>
        <w:rPr>
          <w:rFonts w:cstheme="minorHAnsi"/>
        </w:rPr>
      </w:pPr>
      <w:hyperlink w:anchor="documentation" w:history="1">
        <w:r w:rsidRPr="0015062D">
          <w:rPr>
            <w:rStyle w:val="Hyperlink"/>
            <w:rFonts w:cstheme="minorHAnsi"/>
          </w:rPr>
          <w:t>Enrollment Documentation</w:t>
        </w:r>
      </w:hyperlink>
    </w:p>
    <w:p w14:paraId="2CA9866E" w14:textId="77777777" w:rsidR="0015062D" w:rsidRPr="0015062D" w:rsidRDefault="0015062D" w:rsidP="0015062D">
      <w:pPr>
        <w:numPr>
          <w:ilvl w:val="0"/>
          <w:numId w:val="9"/>
        </w:numPr>
        <w:spacing w:after="0" w:line="276" w:lineRule="auto"/>
        <w:rPr>
          <w:rFonts w:cstheme="minorHAnsi"/>
        </w:rPr>
      </w:pPr>
      <w:hyperlink w:anchor="retirees" w:history="1">
        <w:r w:rsidRPr="0015062D">
          <w:rPr>
            <w:rStyle w:val="Hyperlink"/>
            <w:rFonts w:cstheme="minorHAnsi"/>
          </w:rPr>
          <w:t>Retiree Coverage</w:t>
        </w:r>
      </w:hyperlink>
    </w:p>
    <w:p w14:paraId="7E970452" w14:textId="77777777" w:rsidR="0015062D" w:rsidRPr="0015062D" w:rsidRDefault="0015062D" w:rsidP="0015062D">
      <w:pPr>
        <w:numPr>
          <w:ilvl w:val="0"/>
          <w:numId w:val="9"/>
        </w:numPr>
        <w:spacing w:after="0" w:line="276" w:lineRule="auto"/>
        <w:rPr>
          <w:rFonts w:cstheme="minorHAnsi"/>
        </w:rPr>
      </w:pPr>
      <w:hyperlink w:anchor="tax-consequences" w:history="1">
        <w:r w:rsidRPr="0015062D">
          <w:rPr>
            <w:rStyle w:val="Hyperlink"/>
            <w:rFonts w:cstheme="minorHAnsi"/>
          </w:rPr>
          <w:t>Tax Con</w:t>
        </w:r>
        <w:r w:rsidRPr="0015062D">
          <w:rPr>
            <w:rStyle w:val="Hyperlink"/>
            <w:rFonts w:cstheme="minorHAnsi"/>
          </w:rPr>
          <w:t>s</w:t>
        </w:r>
        <w:r w:rsidRPr="0015062D">
          <w:rPr>
            <w:rStyle w:val="Hyperlink"/>
            <w:rFonts w:cstheme="minorHAnsi"/>
          </w:rPr>
          <w:t>equences</w:t>
        </w:r>
      </w:hyperlink>
    </w:p>
    <w:p w14:paraId="028DC03E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pict w14:anchorId="2AF06AE1">
          <v:rect id="_x0000_i1044" style="width:0;height:1.5pt" o:hralign="center" o:hrstd="t" o:hr="t" fillcolor="#a0a0a0" stroked="f"/>
        </w:pict>
      </w:r>
    </w:p>
    <w:p w14:paraId="1314C725" w14:textId="77777777" w:rsidR="0015062D" w:rsidRPr="0015062D" w:rsidRDefault="0015062D" w:rsidP="0015062D">
      <w:pPr>
        <w:spacing w:after="0" w:line="276" w:lineRule="auto"/>
        <w:rPr>
          <w:rFonts w:cstheme="minorHAnsi"/>
          <w:b/>
          <w:bCs/>
        </w:rPr>
      </w:pPr>
      <w:r w:rsidRPr="0015062D">
        <w:rPr>
          <w:rFonts w:cstheme="minorHAnsi"/>
          <w:b/>
          <w:bCs/>
        </w:rPr>
        <w:t xml:space="preserve">Who is eligible for Domestic Partner benefits? </w:t>
      </w:r>
      <w:r w:rsidRPr="0015062D">
        <w:rPr>
          <w:rFonts w:cstheme="minorHAnsi"/>
          <w:b/>
          <w:bCs/>
          <w:color w:val="FFFFFF" w:themeColor="background1"/>
        </w:rPr>
        <w:t>{#eligibility}</w:t>
      </w:r>
    </w:p>
    <w:p w14:paraId="1F2887E6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To qualify for Domestic Partner benefits, both individuals must meet the following requirements:</w:t>
      </w:r>
    </w:p>
    <w:p w14:paraId="70F24889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Relationship and residency requirements:</w:t>
      </w:r>
    </w:p>
    <w:p w14:paraId="19D5A2A3" w14:textId="77777777" w:rsidR="0015062D" w:rsidRPr="0015062D" w:rsidRDefault="0015062D" w:rsidP="0015062D">
      <w:pPr>
        <w:numPr>
          <w:ilvl w:val="0"/>
          <w:numId w:val="10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Be at least 18 years of age and mentally competent to consent to a Domestic Partner contract.</w:t>
      </w:r>
    </w:p>
    <w:p w14:paraId="33CD0C3A" w14:textId="77777777" w:rsidR="0015062D" w:rsidRPr="0015062D" w:rsidRDefault="0015062D" w:rsidP="0015062D">
      <w:pPr>
        <w:numPr>
          <w:ilvl w:val="0"/>
          <w:numId w:val="10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Have shared the same principal residence and the common necessities of life for at least the preceding 12 months.</w:t>
      </w:r>
    </w:p>
    <w:p w14:paraId="5C5ACBB5" w14:textId="77777777" w:rsidR="0015062D" w:rsidRPr="0015062D" w:rsidRDefault="0015062D" w:rsidP="0015062D">
      <w:pPr>
        <w:numPr>
          <w:ilvl w:val="0"/>
          <w:numId w:val="10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Not be related by blood to a degree of closeness that would prohibit legal marriage under Missouri law or the laws of their state of residence.</w:t>
      </w:r>
    </w:p>
    <w:p w14:paraId="2245D944" w14:textId="77777777" w:rsidR="0015062D" w:rsidRPr="0015062D" w:rsidRDefault="0015062D" w:rsidP="0015062D">
      <w:pPr>
        <w:numPr>
          <w:ilvl w:val="0"/>
          <w:numId w:val="10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Have maintained an exclusive, committed relationship with each other for at least 12 months.</w:t>
      </w:r>
    </w:p>
    <w:p w14:paraId="6CACB881" w14:textId="77777777" w:rsidR="0015062D" w:rsidRPr="0015062D" w:rsidRDefault="0015062D" w:rsidP="0015062D">
      <w:pPr>
        <w:numPr>
          <w:ilvl w:val="0"/>
          <w:numId w:val="10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Not be in a landlord-tenant, renter, boarder, or similar arrangement.</w:t>
      </w:r>
    </w:p>
    <w:p w14:paraId="392F0C8C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Shared financial responsibility:</w:t>
      </w:r>
    </w:p>
    <w:p w14:paraId="5D012F0C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Domestic Partners must be jointly responsible for each other's common welfare and shared financial obligations. This responsibility may be demonstrated by providing documentation of at least three of the following:</w:t>
      </w:r>
    </w:p>
    <w:p w14:paraId="1176D78C" w14:textId="77777777" w:rsidR="0015062D" w:rsidRPr="0015062D" w:rsidRDefault="0015062D" w:rsidP="0015062D">
      <w:pPr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Domestic Partner Agreement</w:t>
      </w:r>
    </w:p>
    <w:p w14:paraId="1737D6D3" w14:textId="77777777" w:rsidR="0015062D" w:rsidRPr="0015062D" w:rsidRDefault="0015062D" w:rsidP="0015062D">
      <w:pPr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Joint mortgage or lease</w:t>
      </w:r>
    </w:p>
    <w:p w14:paraId="543922A2" w14:textId="77777777" w:rsidR="0015062D" w:rsidRPr="0015062D" w:rsidRDefault="0015062D" w:rsidP="0015062D">
      <w:pPr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Designation of the Domestic Partner as a beneficiary of the employee's life insurance, or designation of the employee as a beneficiary of the Domestic Partner's life insurance</w:t>
      </w:r>
    </w:p>
    <w:p w14:paraId="2EF293B8" w14:textId="77777777" w:rsidR="0015062D" w:rsidRPr="0015062D" w:rsidRDefault="0015062D" w:rsidP="0015062D">
      <w:pPr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Designation of the Domestic Partner as a beneficiary of the employee's retirement contract, or designation of the employee as a beneficiary of the Domestic Partner's retirement contract</w:t>
      </w:r>
    </w:p>
    <w:p w14:paraId="2B19BEC8" w14:textId="77777777" w:rsidR="0015062D" w:rsidRPr="0015062D" w:rsidRDefault="0015062D" w:rsidP="0015062D">
      <w:pPr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Designation of the Domestic Partner as the primary beneficiary in the employee's will, or designation of the employee as the primary beneficiary in the Domestic Partner's will</w:t>
      </w:r>
    </w:p>
    <w:p w14:paraId="15B8B655" w14:textId="77777777" w:rsidR="0015062D" w:rsidRPr="0015062D" w:rsidRDefault="0015062D" w:rsidP="0015062D">
      <w:pPr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Durable property and health care powers of attorney naming each other</w:t>
      </w:r>
    </w:p>
    <w:p w14:paraId="6A378CC7" w14:textId="77777777" w:rsidR="0015062D" w:rsidRPr="0015062D" w:rsidRDefault="0015062D" w:rsidP="0015062D">
      <w:pPr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Joint ownership of a motor vehicle</w:t>
      </w:r>
    </w:p>
    <w:p w14:paraId="7020AD72" w14:textId="77777777" w:rsidR="0015062D" w:rsidRPr="0015062D" w:rsidRDefault="0015062D" w:rsidP="0015062D">
      <w:pPr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Joint checking account</w:t>
      </w:r>
    </w:p>
    <w:p w14:paraId="30AAD19F" w14:textId="77777777" w:rsidR="0015062D" w:rsidRPr="0015062D" w:rsidRDefault="0015062D" w:rsidP="0015062D">
      <w:pPr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Joint credit account</w:t>
      </w:r>
    </w:p>
    <w:p w14:paraId="2438871F" w14:textId="77777777" w:rsidR="0015062D" w:rsidRDefault="0015062D" w:rsidP="0015062D">
      <w:pPr>
        <w:spacing w:after="0" w:line="276" w:lineRule="auto"/>
        <w:rPr>
          <w:rFonts w:cstheme="minorHAnsi"/>
        </w:rPr>
      </w:pPr>
      <w:hyperlink w:anchor="quick-links" w:history="1">
        <w:r w:rsidRPr="0015062D">
          <w:rPr>
            <w:rStyle w:val="Hyperlink"/>
            <w:rFonts w:cstheme="minorHAnsi"/>
          </w:rPr>
          <w:t>Back to Quick Links</w:t>
        </w:r>
      </w:hyperlink>
    </w:p>
    <w:p w14:paraId="5D69296C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</w:p>
    <w:p w14:paraId="27A4793E" w14:textId="77777777" w:rsidR="0015062D" w:rsidRPr="0015062D" w:rsidRDefault="0015062D" w:rsidP="0015062D">
      <w:pPr>
        <w:spacing w:after="0" w:line="276" w:lineRule="auto"/>
        <w:rPr>
          <w:rFonts w:cstheme="minorHAnsi"/>
          <w:b/>
          <w:bCs/>
        </w:rPr>
      </w:pPr>
      <w:r w:rsidRPr="0015062D">
        <w:rPr>
          <w:rFonts w:cstheme="minorHAnsi"/>
          <w:b/>
          <w:bCs/>
        </w:rPr>
        <w:t xml:space="preserve">What benefits are available to Domestic Partners? </w:t>
      </w:r>
      <w:r w:rsidRPr="0015062D">
        <w:rPr>
          <w:rFonts w:cstheme="minorHAnsi"/>
          <w:b/>
          <w:bCs/>
          <w:color w:val="FFFFFF" w:themeColor="background1"/>
        </w:rPr>
        <w:t>{#</w:t>
      </w:r>
      <w:proofErr w:type="gramStart"/>
      <w:r w:rsidRPr="0015062D">
        <w:rPr>
          <w:rFonts w:cstheme="minorHAnsi"/>
          <w:b/>
          <w:bCs/>
          <w:color w:val="FFFFFF" w:themeColor="background1"/>
        </w:rPr>
        <w:t>available-benefits</w:t>
      </w:r>
      <w:proofErr w:type="gramEnd"/>
      <w:r w:rsidRPr="0015062D">
        <w:rPr>
          <w:rFonts w:cstheme="minorHAnsi"/>
          <w:b/>
          <w:bCs/>
          <w:color w:val="FFFFFF" w:themeColor="background1"/>
        </w:rPr>
        <w:t>}</w:t>
      </w:r>
    </w:p>
    <w:p w14:paraId="6BCC1637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lastRenderedPageBreak/>
        <w:t>Domestic Partners may be eligible for the benefits available to spouses, to the extent permitted by applicable law and the University's benefit plan documents.</w:t>
      </w:r>
    </w:p>
    <w:p w14:paraId="0F7D1BE4" w14:textId="77777777" w:rsidR="0015062D" w:rsidRDefault="0015062D" w:rsidP="0015062D">
      <w:pPr>
        <w:spacing w:after="0" w:line="276" w:lineRule="auto"/>
        <w:rPr>
          <w:rFonts w:cstheme="minorHAnsi"/>
        </w:rPr>
      </w:pPr>
      <w:hyperlink w:anchor="quick-links" w:history="1">
        <w:r w:rsidRPr="0015062D">
          <w:rPr>
            <w:rStyle w:val="Hyperlink"/>
            <w:rFonts w:cstheme="minorHAnsi"/>
          </w:rPr>
          <w:t>Back to Quick Links</w:t>
        </w:r>
      </w:hyperlink>
    </w:p>
    <w:p w14:paraId="558BC34A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</w:p>
    <w:p w14:paraId="4DA3C07C" w14:textId="77777777" w:rsidR="0015062D" w:rsidRPr="0015062D" w:rsidRDefault="0015062D" w:rsidP="0015062D">
      <w:pPr>
        <w:spacing w:after="0" w:line="276" w:lineRule="auto"/>
        <w:rPr>
          <w:rFonts w:cstheme="minorHAnsi"/>
          <w:b/>
          <w:bCs/>
        </w:rPr>
      </w:pPr>
      <w:r w:rsidRPr="0015062D">
        <w:rPr>
          <w:rFonts w:cstheme="minorHAnsi"/>
          <w:b/>
          <w:bCs/>
        </w:rPr>
        <w:t xml:space="preserve">When may I add a Domestic Partner to my benefit plans? </w:t>
      </w:r>
      <w:r w:rsidRPr="0015062D">
        <w:rPr>
          <w:rFonts w:cstheme="minorHAnsi"/>
          <w:b/>
          <w:bCs/>
          <w:color w:val="FFFFFF" w:themeColor="background1"/>
        </w:rPr>
        <w:t>{#when-to-enroll}</w:t>
      </w:r>
    </w:p>
    <w:p w14:paraId="1E1C39E7" w14:textId="77777777" w:rsid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You may add a Domestic Partner during Open Enrollment, which takes place annually from November 1 through December 1, for coverage effective January 1.</w:t>
      </w:r>
    </w:p>
    <w:p w14:paraId="589525B6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</w:p>
    <w:p w14:paraId="3BE61920" w14:textId="77777777" w:rsid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Medical and dental premiums are paid in advance and will be deducted from your December paycheck for January coverage.</w:t>
      </w:r>
    </w:p>
    <w:p w14:paraId="3505B36E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</w:p>
    <w:p w14:paraId="055EC209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Outside of Open Enrollment, changes to coverage generally must be made within 31 days of a qualifying life event, subject to applicable plan rules and documentation requirements.</w:t>
      </w:r>
    </w:p>
    <w:p w14:paraId="1F468BD8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 xml:space="preserve">To submit a qualifying life event, visit the </w:t>
      </w:r>
      <w:hyperlink r:id="rId8" w:history="1">
        <w:r w:rsidRPr="0015062D">
          <w:rPr>
            <w:rStyle w:val="Hyperlink"/>
            <w:rFonts w:cstheme="minorHAnsi"/>
          </w:rPr>
          <w:t>Qualifying Life Event Form</w:t>
        </w:r>
      </w:hyperlink>
      <w:r w:rsidRPr="0015062D">
        <w:rPr>
          <w:rFonts w:cstheme="minorHAnsi"/>
        </w:rPr>
        <w:t>.</w:t>
      </w:r>
    </w:p>
    <w:p w14:paraId="706F9643" w14:textId="77777777" w:rsidR="0015062D" w:rsidRDefault="0015062D" w:rsidP="0015062D">
      <w:pPr>
        <w:spacing w:after="0" w:line="276" w:lineRule="auto"/>
        <w:rPr>
          <w:rFonts w:cstheme="minorHAnsi"/>
        </w:rPr>
      </w:pPr>
      <w:hyperlink w:anchor="quick-links" w:history="1">
        <w:r w:rsidRPr="0015062D">
          <w:rPr>
            <w:rStyle w:val="Hyperlink"/>
            <w:rFonts w:cstheme="minorHAnsi"/>
          </w:rPr>
          <w:t>Back to Quick Links</w:t>
        </w:r>
      </w:hyperlink>
    </w:p>
    <w:p w14:paraId="33627286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</w:p>
    <w:p w14:paraId="03E47C68" w14:textId="77777777" w:rsidR="0015062D" w:rsidRPr="0015062D" w:rsidRDefault="0015062D" w:rsidP="0015062D">
      <w:pPr>
        <w:spacing w:after="0" w:line="276" w:lineRule="auto"/>
        <w:rPr>
          <w:rFonts w:cstheme="minorHAnsi"/>
          <w:b/>
          <w:bCs/>
        </w:rPr>
      </w:pPr>
      <w:r w:rsidRPr="0015062D">
        <w:rPr>
          <w:rFonts w:cstheme="minorHAnsi"/>
          <w:b/>
          <w:bCs/>
        </w:rPr>
        <w:t>When does Domestic Partner coverage take effect?</w:t>
      </w:r>
      <w:r w:rsidRPr="0015062D">
        <w:rPr>
          <w:rFonts w:cstheme="minorHAnsi"/>
          <w:b/>
          <w:bCs/>
          <w:color w:val="FFFFFF" w:themeColor="background1"/>
        </w:rPr>
        <w:t xml:space="preserve"> {#</w:t>
      </w:r>
      <w:proofErr w:type="gramStart"/>
      <w:r w:rsidRPr="0015062D">
        <w:rPr>
          <w:rFonts w:cstheme="minorHAnsi"/>
          <w:b/>
          <w:bCs/>
          <w:color w:val="FFFFFF" w:themeColor="background1"/>
        </w:rPr>
        <w:t>effective-date</w:t>
      </w:r>
      <w:proofErr w:type="gramEnd"/>
      <w:r w:rsidRPr="0015062D">
        <w:rPr>
          <w:rFonts w:cstheme="minorHAnsi"/>
          <w:b/>
          <w:bCs/>
          <w:color w:val="FFFFFF" w:themeColor="background1"/>
        </w:rPr>
        <w:t>}</w:t>
      </w:r>
    </w:p>
    <w:p w14:paraId="6F856331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Domestic Partner coverage takes effect in accordance with the applicable University benefit plan documents and enrollment requirements. Domestic Partner benefits were initially implemented effective January 1, 2014.</w:t>
      </w:r>
    </w:p>
    <w:p w14:paraId="6B3B3E97" w14:textId="77777777" w:rsidR="0015062D" w:rsidRDefault="0015062D" w:rsidP="0015062D">
      <w:pPr>
        <w:spacing w:after="0" w:line="276" w:lineRule="auto"/>
        <w:rPr>
          <w:rFonts w:cstheme="minorHAnsi"/>
        </w:rPr>
      </w:pPr>
      <w:hyperlink w:anchor="quick-links" w:history="1">
        <w:r w:rsidRPr="0015062D">
          <w:rPr>
            <w:rStyle w:val="Hyperlink"/>
            <w:rFonts w:cstheme="minorHAnsi"/>
          </w:rPr>
          <w:t>Back to Quick Links</w:t>
        </w:r>
      </w:hyperlink>
    </w:p>
    <w:p w14:paraId="6DC3F947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</w:p>
    <w:p w14:paraId="5ADD275B" w14:textId="77777777" w:rsidR="0015062D" w:rsidRPr="0015062D" w:rsidRDefault="0015062D" w:rsidP="0015062D">
      <w:pPr>
        <w:spacing w:after="0" w:line="276" w:lineRule="auto"/>
        <w:rPr>
          <w:rFonts w:cstheme="minorHAnsi"/>
          <w:b/>
          <w:bCs/>
        </w:rPr>
      </w:pPr>
      <w:r w:rsidRPr="0015062D">
        <w:rPr>
          <w:rFonts w:cstheme="minorHAnsi"/>
          <w:b/>
          <w:bCs/>
        </w:rPr>
        <w:t xml:space="preserve">Are children of a Domestic Partner eligible for benefits? </w:t>
      </w:r>
      <w:r w:rsidRPr="0015062D">
        <w:rPr>
          <w:rFonts w:cstheme="minorHAnsi"/>
          <w:b/>
          <w:bCs/>
          <w:color w:val="FFFFFF" w:themeColor="background1"/>
        </w:rPr>
        <w:t>{#children}</w:t>
      </w:r>
    </w:p>
    <w:p w14:paraId="713BBBAD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Children of a Domestic Partner are subject to the same eligibility requirements that apply to children of other employees under the applicable benefit plans.</w:t>
      </w:r>
    </w:p>
    <w:p w14:paraId="1B9BD216" w14:textId="77777777" w:rsidR="0015062D" w:rsidRDefault="0015062D" w:rsidP="0015062D">
      <w:pPr>
        <w:spacing w:after="0" w:line="276" w:lineRule="auto"/>
        <w:rPr>
          <w:rFonts w:cstheme="minorHAnsi"/>
        </w:rPr>
      </w:pPr>
      <w:hyperlink w:anchor="quick-links" w:history="1">
        <w:r w:rsidRPr="0015062D">
          <w:rPr>
            <w:rStyle w:val="Hyperlink"/>
            <w:rFonts w:cstheme="minorHAnsi"/>
          </w:rPr>
          <w:t>Back to Quick Links</w:t>
        </w:r>
      </w:hyperlink>
    </w:p>
    <w:p w14:paraId="1A0ABC3F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</w:p>
    <w:p w14:paraId="43D761BF" w14:textId="77777777" w:rsidR="0015062D" w:rsidRPr="0015062D" w:rsidRDefault="0015062D" w:rsidP="0015062D">
      <w:pPr>
        <w:spacing w:after="0" w:line="276" w:lineRule="auto"/>
        <w:rPr>
          <w:rFonts w:cstheme="minorHAnsi"/>
          <w:b/>
          <w:bCs/>
        </w:rPr>
      </w:pPr>
      <w:r w:rsidRPr="0015062D">
        <w:rPr>
          <w:rFonts w:cstheme="minorHAnsi"/>
          <w:b/>
          <w:bCs/>
        </w:rPr>
        <w:t xml:space="preserve">What information is required to enroll a Domestic Partner? </w:t>
      </w:r>
      <w:r w:rsidRPr="0015062D">
        <w:rPr>
          <w:rFonts w:cstheme="minorHAnsi"/>
          <w:b/>
          <w:bCs/>
          <w:color w:val="FFFFFF" w:themeColor="background1"/>
        </w:rPr>
        <w:t>{#documentation}</w:t>
      </w:r>
    </w:p>
    <w:p w14:paraId="38CDA85D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Employees must complete and submit a Domestic Partner affidavit. Additional supporting documentation may be requested to verify eligibility and shared financial responsibility, such as a joint mortgage, lease, or checking account.</w:t>
      </w:r>
    </w:p>
    <w:p w14:paraId="44C0D8AB" w14:textId="77777777" w:rsidR="0015062D" w:rsidRDefault="0015062D" w:rsidP="0015062D">
      <w:pPr>
        <w:spacing w:after="0" w:line="276" w:lineRule="auto"/>
        <w:rPr>
          <w:rFonts w:cstheme="minorHAnsi"/>
        </w:rPr>
      </w:pPr>
      <w:hyperlink w:anchor="quick-links" w:history="1">
        <w:r w:rsidRPr="0015062D">
          <w:rPr>
            <w:rStyle w:val="Hyperlink"/>
            <w:rFonts w:cstheme="minorHAnsi"/>
          </w:rPr>
          <w:t>Back to Quick Links</w:t>
        </w:r>
      </w:hyperlink>
    </w:p>
    <w:p w14:paraId="62ED60F5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</w:p>
    <w:p w14:paraId="3544ECA4" w14:textId="77777777" w:rsidR="0015062D" w:rsidRPr="0015062D" w:rsidRDefault="0015062D" w:rsidP="0015062D">
      <w:pPr>
        <w:spacing w:after="0" w:line="276" w:lineRule="auto"/>
        <w:rPr>
          <w:rFonts w:cstheme="minorHAnsi"/>
          <w:b/>
          <w:bCs/>
        </w:rPr>
      </w:pPr>
      <w:r w:rsidRPr="0015062D">
        <w:rPr>
          <w:rFonts w:cstheme="minorHAnsi"/>
          <w:b/>
          <w:bCs/>
        </w:rPr>
        <w:t xml:space="preserve">Can retirees cover Domestic Partners? </w:t>
      </w:r>
      <w:r w:rsidRPr="0015062D">
        <w:rPr>
          <w:rFonts w:cstheme="minorHAnsi"/>
          <w:b/>
          <w:bCs/>
          <w:color w:val="FFFFFF" w:themeColor="background1"/>
        </w:rPr>
        <w:t>{#retirees}</w:t>
      </w:r>
    </w:p>
    <w:p w14:paraId="30372539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Current retirees may not add a Domestic Partner to their coverage after their retirement date.</w:t>
      </w:r>
    </w:p>
    <w:p w14:paraId="4E9BC6C9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Employees who retire may continue coverage for a Domestic Partner who was covered as an active employee, provided the Domestic Partner's coverage is effective immediately before the employee's retirement and continuation is permitted under the applicable plan documents.</w:t>
      </w:r>
    </w:p>
    <w:p w14:paraId="4925E702" w14:textId="77777777" w:rsidR="0015062D" w:rsidRDefault="0015062D" w:rsidP="0015062D">
      <w:pPr>
        <w:spacing w:after="0" w:line="276" w:lineRule="auto"/>
        <w:rPr>
          <w:rFonts w:cstheme="minorHAnsi"/>
        </w:rPr>
      </w:pPr>
      <w:hyperlink w:anchor="quick-links" w:history="1">
        <w:r w:rsidRPr="0015062D">
          <w:rPr>
            <w:rStyle w:val="Hyperlink"/>
            <w:rFonts w:cstheme="minorHAnsi"/>
          </w:rPr>
          <w:t>Back to Quick Links</w:t>
        </w:r>
      </w:hyperlink>
    </w:p>
    <w:p w14:paraId="67DC9174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</w:p>
    <w:p w14:paraId="4E1C1756" w14:textId="77777777" w:rsidR="0015062D" w:rsidRPr="0015062D" w:rsidRDefault="0015062D" w:rsidP="0015062D">
      <w:pPr>
        <w:spacing w:after="0" w:line="276" w:lineRule="auto"/>
        <w:rPr>
          <w:rFonts w:cstheme="minorHAnsi"/>
          <w:b/>
          <w:bCs/>
        </w:rPr>
      </w:pPr>
      <w:r w:rsidRPr="0015062D">
        <w:rPr>
          <w:rFonts w:cstheme="minorHAnsi"/>
          <w:b/>
          <w:bCs/>
        </w:rPr>
        <w:t xml:space="preserve">What are the tax consequences of covering a Domestic Partner? </w:t>
      </w:r>
      <w:r w:rsidRPr="0015062D">
        <w:rPr>
          <w:rFonts w:cstheme="minorHAnsi"/>
          <w:b/>
          <w:bCs/>
          <w:color w:val="FFFFFF" w:themeColor="background1"/>
        </w:rPr>
        <w:t>{#tax-consequences}</w:t>
      </w:r>
    </w:p>
    <w:p w14:paraId="26B80F64" w14:textId="77777777" w:rsid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lastRenderedPageBreak/>
        <w:t>Employees should consult a qualified tax or legal advisor regarding the tax implications of covering a Domestic Partner.</w:t>
      </w:r>
    </w:p>
    <w:p w14:paraId="055E4905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</w:p>
    <w:p w14:paraId="7E333E4D" w14:textId="77777777" w:rsid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For federal tax purposes, the IRS definition of a qualifying spouse or dependent may differ from the University's eligibility definition for Domestic Partner benefits. As a result, employee contributions for Domestic Partner coverage generally cannot be deducted on a pre-tax basis unless the individual qualifies for favorable tax treatment under applicable federal law, such as being a legal spouse or a qualifying dependent under Internal Revenue Code Section 152.</w:t>
      </w:r>
    </w:p>
    <w:p w14:paraId="3AD06633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</w:p>
    <w:p w14:paraId="0EE9FB0C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If a Domestic Partner does not qualify as the employee's spouse or dependent for federal income tax purposes, the fair market value of employer-provided benefits may be treated as imputed income. Imputed income is added to the employee's taxable compensation and is subject to applicable taxes.</w:t>
      </w:r>
    </w:p>
    <w:p w14:paraId="4150C491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r w:rsidRPr="0015062D">
        <w:rPr>
          <w:rFonts w:cstheme="minorHAnsi"/>
        </w:rPr>
        <w:t>Employees are encouraged to consult a tax professional to determine how these rules apply to their individual circumstances.</w:t>
      </w:r>
    </w:p>
    <w:p w14:paraId="5291B3E9" w14:textId="77777777" w:rsidR="0015062D" w:rsidRPr="0015062D" w:rsidRDefault="0015062D" w:rsidP="0015062D">
      <w:pPr>
        <w:spacing w:after="0" w:line="276" w:lineRule="auto"/>
        <w:rPr>
          <w:rFonts w:cstheme="minorHAnsi"/>
        </w:rPr>
      </w:pPr>
      <w:hyperlink w:anchor="quick-links" w:history="1">
        <w:r w:rsidRPr="0015062D">
          <w:rPr>
            <w:rStyle w:val="Hyperlink"/>
            <w:rFonts w:cstheme="minorHAnsi"/>
          </w:rPr>
          <w:t>Back to Quick Links</w:t>
        </w:r>
      </w:hyperlink>
    </w:p>
    <w:p w14:paraId="24C85B1A" w14:textId="77777777" w:rsidR="00084133" w:rsidRPr="0015062D" w:rsidRDefault="00084133" w:rsidP="006E09D7">
      <w:pPr>
        <w:spacing w:after="0" w:line="276" w:lineRule="auto"/>
        <w:rPr>
          <w:rFonts w:cstheme="minorHAnsi"/>
        </w:rPr>
      </w:pPr>
    </w:p>
    <w:sectPr w:rsidR="00084133" w:rsidRPr="0015062D" w:rsidSect="0028297E">
      <w:headerReference w:type="even" r:id="rId9"/>
      <w:headerReference w:type="default" r:id="rId10"/>
      <w:headerReference w:type="first" r:id="rId11"/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297B8" w14:textId="77777777" w:rsidR="006F3C74" w:rsidRDefault="006F3C74" w:rsidP="002B0554">
      <w:pPr>
        <w:spacing w:after="0" w:line="240" w:lineRule="auto"/>
      </w:pPr>
      <w:r>
        <w:separator/>
      </w:r>
    </w:p>
  </w:endnote>
  <w:endnote w:type="continuationSeparator" w:id="0">
    <w:p w14:paraId="132A03E3" w14:textId="77777777" w:rsidR="006F3C74" w:rsidRDefault="006F3C74" w:rsidP="002B0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3BDFB" w14:textId="77777777" w:rsidR="006F3C74" w:rsidRDefault="006F3C74" w:rsidP="002B0554">
      <w:pPr>
        <w:spacing w:after="0" w:line="240" w:lineRule="auto"/>
      </w:pPr>
      <w:r>
        <w:separator/>
      </w:r>
    </w:p>
  </w:footnote>
  <w:footnote w:type="continuationSeparator" w:id="0">
    <w:p w14:paraId="2C615E44" w14:textId="77777777" w:rsidR="006F3C74" w:rsidRDefault="006F3C74" w:rsidP="002B0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5FF2" w14:textId="77777777" w:rsidR="0028297E" w:rsidRDefault="002829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5F5B2" w14:textId="77777777" w:rsidR="0028297E" w:rsidRPr="00AA3B77" w:rsidRDefault="0028297E" w:rsidP="00AA3B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2463B" w14:textId="77777777" w:rsidR="0028297E" w:rsidRDefault="002829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4F8"/>
    <w:multiLevelType w:val="multilevel"/>
    <w:tmpl w:val="B680C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B0784D"/>
    <w:multiLevelType w:val="multilevel"/>
    <w:tmpl w:val="DC02E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857988"/>
    <w:multiLevelType w:val="multilevel"/>
    <w:tmpl w:val="41F48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23B1A"/>
    <w:multiLevelType w:val="hybridMultilevel"/>
    <w:tmpl w:val="CD804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24866"/>
    <w:multiLevelType w:val="multilevel"/>
    <w:tmpl w:val="4E78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9671CA"/>
    <w:multiLevelType w:val="hybridMultilevel"/>
    <w:tmpl w:val="60ECDCF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030004"/>
    <w:multiLevelType w:val="hybridMultilevel"/>
    <w:tmpl w:val="9FE0FEB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C702B08"/>
    <w:multiLevelType w:val="multilevel"/>
    <w:tmpl w:val="16A8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132C6A"/>
    <w:multiLevelType w:val="hybridMultilevel"/>
    <w:tmpl w:val="48A08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F0048"/>
    <w:multiLevelType w:val="multilevel"/>
    <w:tmpl w:val="E0DA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A63595"/>
    <w:multiLevelType w:val="multilevel"/>
    <w:tmpl w:val="8958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4864401">
    <w:abstractNumId w:val="0"/>
  </w:num>
  <w:num w:numId="2" w16cid:durableId="1236167568">
    <w:abstractNumId w:val="8"/>
  </w:num>
  <w:num w:numId="3" w16cid:durableId="103118996">
    <w:abstractNumId w:val="5"/>
  </w:num>
  <w:num w:numId="4" w16cid:durableId="1572884596">
    <w:abstractNumId w:val="3"/>
  </w:num>
  <w:num w:numId="5" w16cid:durableId="1682273563">
    <w:abstractNumId w:val="6"/>
  </w:num>
  <w:num w:numId="6" w16cid:durableId="1889952022">
    <w:abstractNumId w:val="7"/>
  </w:num>
  <w:num w:numId="7" w16cid:durableId="217280569">
    <w:abstractNumId w:val="9"/>
  </w:num>
  <w:num w:numId="8" w16cid:durableId="1449422818">
    <w:abstractNumId w:val="2"/>
  </w:num>
  <w:num w:numId="9" w16cid:durableId="1157840842">
    <w:abstractNumId w:val="4"/>
  </w:num>
  <w:num w:numId="10" w16cid:durableId="1343167636">
    <w:abstractNumId w:val="10"/>
  </w:num>
  <w:num w:numId="11" w16cid:durableId="483788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color="#969696" stroke="f">
      <v:fill color="#969696" opacity="35389f"/>
      <v:stroke opacity="34079f" on="f"/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554"/>
    <w:rsid w:val="00016E74"/>
    <w:rsid w:val="00045018"/>
    <w:rsid w:val="00055A77"/>
    <w:rsid w:val="00084133"/>
    <w:rsid w:val="000B0409"/>
    <w:rsid w:val="000B335B"/>
    <w:rsid w:val="0015062D"/>
    <w:rsid w:val="00184A72"/>
    <w:rsid w:val="001C365B"/>
    <w:rsid w:val="001D6182"/>
    <w:rsid w:val="001E4C55"/>
    <w:rsid w:val="001E7153"/>
    <w:rsid w:val="00222E81"/>
    <w:rsid w:val="0023669C"/>
    <w:rsid w:val="00245F41"/>
    <w:rsid w:val="0028297E"/>
    <w:rsid w:val="0029159F"/>
    <w:rsid w:val="002B0554"/>
    <w:rsid w:val="00394A75"/>
    <w:rsid w:val="003C259A"/>
    <w:rsid w:val="003D0C02"/>
    <w:rsid w:val="003D74AA"/>
    <w:rsid w:val="003E07AE"/>
    <w:rsid w:val="004130E2"/>
    <w:rsid w:val="004160C7"/>
    <w:rsid w:val="00457709"/>
    <w:rsid w:val="004B3F38"/>
    <w:rsid w:val="004B5B4E"/>
    <w:rsid w:val="00511125"/>
    <w:rsid w:val="00527DA3"/>
    <w:rsid w:val="00530F63"/>
    <w:rsid w:val="005673C9"/>
    <w:rsid w:val="00575A54"/>
    <w:rsid w:val="00585D70"/>
    <w:rsid w:val="005D0026"/>
    <w:rsid w:val="005E4FD7"/>
    <w:rsid w:val="00606891"/>
    <w:rsid w:val="00624357"/>
    <w:rsid w:val="00686E44"/>
    <w:rsid w:val="006B51AB"/>
    <w:rsid w:val="006C0CCE"/>
    <w:rsid w:val="006C0E17"/>
    <w:rsid w:val="006D5434"/>
    <w:rsid w:val="006E09D7"/>
    <w:rsid w:val="006F3C74"/>
    <w:rsid w:val="006F411A"/>
    <w:rsid w:val="006F65BF"/>
    <w:rsid w:val="00765478"/>
    <w:rsid w:val="00773589"/>
    <w:rsid w:val="00783DD6"/>
    <w:rsid w:val="007B31A3"/>
    <w:rsid w:val="007F0FC7"/>
    <w:rsid w:val="00820B0D"/>
    <w:rsid w:val="0084593F"/>
    <w:rsid w:val="00895451"/>
    <w:rsid w:val="008A1A62"/>
    <w:rsid w:val="008A49A8"/>
    <w:rsid w:val="008B72AD"/>
    <w:rsid w:val="009131AF"/>
    <w:rsid w:val="00914638"/>
    <w:rsid w:val="0093661E"/>
    <w:rsid w:val="00974D70"/>
    <w:rsid w:val="009D696C"/>
    <w:rsid w:val="00A975AF"/>
    <w:rsid w:val="00AA3B77"/>
    <w:rsid w:val="00AE45D5"/>
    <w:rsid w:val="00AE45F1"/>
    <w:rsid w:val="00B06164"/>
    <w:rsid w:val="00B170BD"/>
    <w:rsid w:val="00B72BF0"/>
    <w:rsid w:val="00B77C68"/>
    <w:rsid w:val="00B9361F"/>
    <w:rsid w:val="00BB1963"/>
    <w:rsid w:val="00BE30A3"/>
    <w:rsid w:val="00C37024"/>
    <w:rsid w:val="00C92D80"/>
    <w:rsid w:val="00C943D7"/>
    <w:rsid w:val="00C9690B"/>
    <w:rsid w:val="00CC297F"/>
    <w:rsid w:val="00CD3D32"/>
    <w:rsid w:val="00D01157"/>
    <w:rsid w:val="00D176D6"/>
    <w:rsid w:val="00D667E8"/>
    <w:rsid w:val="00D835D4"/>
    <w:rsid w:val="00D900BC"/>
    <w:rsid w:val="00E3334F"/>
    <w:rsid w:val="00E65692"/>
    <w:rsid w:val="00F3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center;mso-position-vertical-relative:margin" o:allowincell="f" fillcolor="#969696" stroke="f">
      <v:fill color="#969696" opacity="35389f"/>
      <v:stroke opacity="34079f" on="f"/>
      <o:colormru v:ext="edit" colors="#969696"/>
    </o:shapedefaults>
    <o:shapelayout v:ext="edit">
      <o:idmap v:ext="edit" data="2"/>
    </o:shapelayout>
  </w:shapeDefaults>
  <w:decimalSymbol w:val="."/>
  <w:listSeparator w:val=","/>
  <w14:docId w14:val="6B435266"/>
  <w15:chartTrackingRefBased/>
  <w15:docId w15:val="{F788C409-52A8-43CD-8EB8-263AA5184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554"/>
    <w:pPr>
      <w:spacing w:after="160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0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554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2B0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554"/>
    <w:rPr>
      <w:rFonts w:asciiTheme="minorHAnsi" w:hAnsiTheme="minorHAnsi"/>
      <w:sz w:val="22"/>
    </w:rPr>
  </w:style>
  <w:style w:type="paragraph" w:styleId="ListParagraph">
    <w:name w:val="List Paragraph"/>
    <w:basedOn w:val="Normal"/>
    <w:uiPriority w:val="34"/>
    <w:qFormat/>
    <w:rsid w:val="006E09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7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5A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F41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41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411A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41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11A"/>
    <w:rPr>
      <w:rFonts w:asciiTheme="minorHAnsi" w:hAnsiTheme="minorHAns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85D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D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5D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deration.ngwebsolutions.com/sp/startSSO.ping?PartnerIdpId=https://sts.windows.net/cad830e4-554f-4361-bae5-c865233fb77f/&amp;SpSessionAuthnAdapterId=missouriStateDF&amp;TargetResource=https%3a%2f%2fdynamicforms.ngwebsolutions.com%2fSubmit%2fStart%2fc2d4b14d-f6eb-4298-8d5b-380b5a875c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AB274-387F-4B0D-A06B-4A9F70546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Lisa M</dc:creator>
  <cp:keywords/>
  <dc:description/>
  <cp:lastModifiedBy>Mings, Deidre A</cp:lastModifiedBy>
  <cp:revision>2</cp:revision>
  <cp:lastPrinted>2013-10-04T20:59:00Z</cp:lastPrinted>
  <dcterms:created xsi:type="dcterms:W3CDTF">2026-10-14T17:40:00Z</dcterms:created>
  <dcterms:modified xsi:type="dcterms:W3CDTF">2026-10-14T17:40:00Z</dcterms:modified>
</cp:coreProperties>
</file>