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F6" w:rsidRPr="00B66E74" w:rsidRDefault="00B66E74" w:rsidP="00CB1010">
      <w:pPr>
        <w:pStyle w:val="Title"/>
        <w:rPr>
          <w:rStyle w:val="Strong"/>
        </w:rPr>
      </w:pPr>
      <w:r w:rsidRPr="00B66E74">
        <w:rPr>
          <w:rStyle w:val="Strong"/>
        </w:rPr>
        <w:t>Honors College Academic Performance</w:t>
      </w:r>
    </w:p>
    <w:p w:rsidR="00B66E74" w:rsidRDefault="00B66E74" w:rsidP="00CB1010">
      <w:pPr>
        <w:pStyle w:val="Title"/>
        <w:rPr>
          <w:rStyle w:val="Strong"/>
        </w:rPr>
      </w:pPr>
      <w:r w:rsidRPr="00B66E74">
        <w:rPr>
          <w:rStyle w:val="Strong"/>
        </w:rPr>
        <w:t>2010-Present</w:t>
      </w:r>
    </w:p>
    <w:p w:rsidR="000D3B02" w:rsidRDefault="000D3B02" w:rsidP="00B66E74">
      <w:pPr>
        <w:jc w:val="center"/>
        <w:rPr>
          <w:rStyle w:val="Strong"/>
        </w:rPr>
      </w:pPr>
    </w:p>
    <w:p w:rsidR="000D3B02" w:rsidRDefault="000D3B02" w:rsidP="000D3B02">
      <w:pPr>
        <w:rPr>
          <w:rStyle w:val="Strong"/>
        </w:rPr>
      </w:pPr>
      <w:r>
        <w:rPr>
          <w:noProof/>
        </w:rPr>
        <w:drawing>
          <wp:inline distT="0" distB="0" distL="0" distR="0" wp14:anchorId="7A48D102" wp14:editId="56873F8C">
            <wp:extent cx="8620125" cy="3200400"/>
            <wp:effectExtent l="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6E74" w:rsidRPr="00B66E74" w:rsidRDefault="00150E1F" w:rsidP="00B66E74">
      <w:pPr>
        <w:jc w:val="center"/>
        <w:rPr>
          <w:rStyle w:val="Strong"/>
        </w:rPr>
      </w:pPr>
      <w:r>
        <w:rPr>
          <w:noProof/>
        </w:rPr>
        <w:lastRenderedPageBreak/>
        <w:drawing>
          <wp:inline distT="0" distB="0" distL="0" distR="0" wp14:anchorId="2BEB6E86" wp14:editId="01FBD430">
            <wp:extent cx="8229600" cy="3055410"/>
            <wp:effectExtent l="0" t="0" r="0" b="1206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6E74" w:rsidRDefault="00B66E74" w:rsidP="00B66E74">
      <w:r w:rsidRPr="00B66E74">
        <w:rPr>
          <w:noProof/>
          <w:color w:val="FF0000"/>
        </w:rPr>
        <w:lastRenderedPageBreak/>
        <w:drawing>
          <wp:inline distT="0" distB="0" distL="0" distR="0" wp14:anchorId="1D9DC770" wp14:editId="48F8C48A">
            <wp:extent cx="8448675" cy="3434080"/>
            <wp:effectExtent l="0" t="0" r="952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4D3B" w:rsidRDefault="00150E1F" w:rsidP="00B66E74">
      <w:r w:rsidRPr="00B66E74">
        <w:rPr>
          <w:noProof/>
          <w:color w:val="FF0000"/>
        </w:rPr>
        <w:lastRenderedPageBreak/>
        <w:drawing>
          <wp:inline distT="0" distB="0" distL="0" distR="0" wp14:anchorId="6109F5CF" wp14:editId="5627FC5C">
            <wp:extent cx="8229600" cy="3345034"/>
            <wp:effectExtent l="0" t="0" r="0" b="825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4D3B" w:rsidRDefault="000F7536" w:rsidP="00B66E74">
      <w:r>
        <w:rPr>
          <w:noProof/>
        </w:rPr>
        <w:lastRenderedPageBreak/>
        <w:drawing>
          <wp:inline distT="0" distB="0" distL="0" distR="0" wp14:anchorId="0A98CC76" wp14:editId="22E874AE">
            <wp:extent cx="866775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0E1F" w:rsidRDefault="00150E1F" w:rsidP="00B66E74">
      <w:r>
        <w:rPr>
          <w:noProof/>
        </w:rPr>
        <w:lastRenderedPageBreak/>
        <w:drawing>
          <wp:inline distT="0" distB="0" distL="0" distR="0" wp14:anchorId="209880E6" wp14:editId="1595C39C">
            <wp:extent cx="8229600" cy="3038622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3835" w:rsidRDefault="00CD3835" w:rsidP="00B66E74">
      <w:r>
        <w:rPr>
          <w:noProof/>
        </w:rPr>
        <w:lastRenderedPageBreak/>
        <w:drawing>
          <wp:inline distT="0" distB="0" distL="0" distR="0" wp14:anchorId="4AD0F853" wp14:editId="4DD35C12">
            <wp:extent cx="8486775" cy="3200400"/>
            <wp:effectExtent l="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2A89" w:rsidRDefault="00150E1F" w:rsidP="00B66E74">
      <w:r>
        <w:rPr>
          <w:noProof/>
        </w:rPr>
        <w:lastRenderedPageBreak/>
        <w:drawing>
          <wp:inline distT="0" distB="0" distL="0" distR="0" wp14:anchorId="4CFAE4B9" wp14:editId="50256EB0">
            <wp:extent cx="8229600" cy="3103418"/>
            <wp:effectExtent l="0" t="0" r="0" b="190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A89" w:rsidRDefault="00642A89" w:rsidP="00B66E74">
      <w:r>
        <w:rPr>
          <w:noProof/>
        </w:rPr>
        <w:lastRenderedPageBreak/>
        <w:drawing>
          <wp:inline distT="0" distB="0" distL="0" distR="0" wp14:anchorId="4080092A" wp14:editId="0AEC55F2">
            <wp:extent cx="8543925" cy="32004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48B8" w:rsidRDefault="00150E1F" w:rsidP="00B66E74">
      <w:r>
        <w:rPr>
          <w:noProof/>
        </w:rPr>
        <w:lastRenderedPageBreak/>
        <w:drawing>
          <wp:inline distT="0" distB="0" distL="0" distR="0" wp14:anchorId="76959362" wp14:editId="63441BD2">
            <wp:extent cx="8229600" cy="3082660"/>
            <wp:effectExtent l="0" t="0" r="0" b="381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48B8" w:rsidRDefault="007C48B8" w:rsidP="00B66E74">
      <w:r>
        <w:rPr>
          <w:noProof/>
        </w:rPr>
        <w:lastRenderedPageBreak/>
        <w:drawing>
          <wp:inline distT="0" distB="0" distL="0" distR="0" wp14:anchorId="27A9D58B" wp14:editId="39720AEA">
            <wp:extent cx="86868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0E1F" w:rsidRDefault="00150E1F" w:rsidP="00B66E74">
      <w:r>
        <w:rPr>
          <w:noProof/>
        </w:rPr>
        <w:lastRenderedPageBreak/>
        <w:drawing>
          <wp:inline distT="0" distB="0" distL="0" distR="0" wp14:anchorId="12306B0F" wp14:editId="6687DC6A">
            <wp:extent cx="8229600" cy="3031958"/>
            <wp:effectExtent l="0" t="0" r="0" b="1651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65AF" w:rsidRDefault="00CB1010" w:rsidP="00B66E74">
      <w:r>
        <w:t>Missouri State University Honors College</w:t>
      </w:r>
    </w:p>
    <w:p w:rsidR="00CB1010" w:rsidRDefault="00CB1010" w:rsidP="00B66E74">
      <w:r>
        <w:t xml:space="preserve">Updated </w:t>
      </w:r>
      <w:r w:rsidR="00E7704C">
        <w:t>August 25, 2020</w:t>
      </w:r>
      <w:bookmarkStart w:id="0" w:name="_GoBack"/>
      <w:bookmarkEnd w:id="0"/>
    </w:p>
    <w:p w:rsidR="00781E26" w:rsidRDefault="00781E26" w:rsidP="00B66E74">
      <w:r>
        <w:rPr>
          <w:noProof/>
          <w:color w:val="282828"/>
        </w:rPr>
        <w:drawing>
          <wp:inline distT="0" distB="0" distL="0" distR="0">
            <wp:extent cx="1371600" cy="1638300"/>
            <wp:effectExtent l="0" t="0" r="0" b="0"/>
            <wp:docPr id="2" name="Picture 2" descr="Final_RG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GB_2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10" w:rsidRDefault="00CB1010" w:rsidP="00B66E74"/>
    <w:sectPr w:rsidR="00CB1010" w:rsidSect="003C07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E74"/>
    <w:rsid w:val="000A443F"/>
    <w:rsid w:val="000D3B02"/>
    <w:rsid w:val="000F7536"/>
    <w:rsid w:val="00150E1F"/>
    <w:rsid w:val="00192F7F"/>
    <w:rsid w:val="001F1B3D"/>
    <w:rsid w:val="001F1D75"/>
    <w:rsid w:val="001F6412"/>
    <w:rsid w:val="002142BA"/>
    <w:rsid w:val="00381B56"/>
    <w:rsid w:val="00395711"/>
    <w:rsid w:val="003A0FE4"/>
    <w:rsid w:val="003C0780"/>
    <w:rsid w:val="004D5D80"/>
    <w:rsid w:val="00554A5B"/>
    <w:rsid w:val="005A2422"/>
    <w:rsid w:val="00642A89"/>
    <w:rsid w:val="00781E26"/>
    <w:rsid w:val="007B22AB"/>
    <w:rsid w:val="007C48B8"/>
    <w:rsid w:val="0085398E"/>
    <w:rsid w:val="00870A1F"/>
    <w:rsid w:val="008A4D3B"/>
    <w:rsid w:val="008C74F1"/>
    <w:rsid w:val="0092333E"/>
    <w:rsid w:val="0099758F"/>
    <w:rsid w:val="009E6220"/>
    <w:rsid w:val="00A12D83"/>
    <w:rsid w:val="00A5414F"/>
    <w:rsid w:val="00B255AC"/>
    <w:rsid w:val="00B306A0"/>
    <w:rsid w:val="00B34A2B"/>
    <w:rsid w:val="00B66E74"/>
    <w:rsid w:val="00B941EF"/>
    <w:rsid w:val="00B9648E"/>
    <w:rsid w:val="00BD56AD"/>
    <w:rsid w:val="00C3658C"/>
    <w:rsid w:val="00C47350"/>
    <w:rsid w:val="00C66607"/>
    <w:rsid w:val="00C965AF"/>
    <w:rsid w:val="00CB1010"/>
    <w:rsid w:val="00CD3835"/>
    <w:rsid w:val="00D025EB"/>
    <w:rsid w:val="00D1372E"/>
    <w:rsid w:val="00DF266D"/>
    <w:rsid w:val="00E50B6B"/>
    <w:rsid w:val="00E57280"/>
    <w:rsid w:val="00E7704C"/>
    <w:rsid w:val="00E97D1D"/>
    <w:rsid w:val="00EF63C1"/>
    <w:rsid w:val="00F6394B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F0A9"/>
  <w15:docId w15:val="{CBE1440C-1054-44FC-9CFF-4AA616C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6E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7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10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image" Target="cid:image003.jpg@01CEFB15.7CEE4C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Comparative Performance by Academic Year</a:t>
            </a:r>
          </a:p>
          <a:p>
            <a:pPr>
              <a:defRPr/>
            </a:pP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Students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3.73</c:v>
                </c:pt>
                <c:pt idx="1">
                  <c:v>3.72</c:v>
                </c:pt>
                <c:pt idx="2">
                  <c:v>3.73</c:v>
                </c:pt>
                <c:pt idx="3">
                  <c:v>3.72</c:v>
                </c:pt>
                <c:pt idx="4">
                  <c:v>3.72</c:v>
                </c:pt>
                <c:pt idx="5">
                  <c:v>3.74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D4-49B1-B202-BA62626A28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Seniors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3.76</c:v>
                </c:pt>
                <c:pt idx="1">
                  <c:v>3.76</c:v>
                </c:pt>
                <c:pt idx="2">
                  <c:v>3.75</c:v>
                </c:pt>
                <c:pt idx="3">
                  <c:v>3.72</c:v>
                </c:pt>
                <c:pt idx="4">
                  <c:v>3.74</c:v>
                </c:pt>
                <c:pt idx="5">
                  <c:v>3.74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D4-49B1-B202-BA62626A28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Juniors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3.75</c:v>
                </c:pt>
                <c:pt idx="1">
                  <c:v>3.73</c:v>
                </c:pt>
                <c:pt idx="2">
                  <c:v>3.72</c:v>
                </c:pt>
                <c:pt idx="3">
                  <c:v>3.73</c:v>
                </c:pt>
                <c:pt idx="4">
                  <c:v>3.72</c:v>
                </c:pt>
                <c:pt idx="5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D4-49B1-B202-BA62626A280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Sophomores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3.73</c:v>
                </c:pt>
                <c:pt idx="1">
                  <c:v>3.7</c:v>
                </c:pt>
                <c:pt idx="2">
                  <c:v>3.73</c:v>
                </c:pt>
                <c:pt idx="3">
                  <c:v>3.75</c:v>
                </c:pt>
                <c:pt idx="4">
                  <c:v>3.73</c:v>
                </c:pt>
                <c:pt idx="5">
                  <c:v>3.77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D4-49B1-B202-BA62626A2807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Freshmen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3.62</c:v>
                </c:pt>
                <c:pt idx="1">
                  <c:v>3.6</c:v>
                </c:pt>
                <c:pt idx="2">
                  <c:v>3.67</c:v>
                </c:pt>
                <c:pt idx="3">
                  <c:v>3.66</c:v>
                </c:pt>
                <c:pt idx="4">
                  <c:v>3.67</c:v>
                </c:pt>
                <c:pt idx="5">
                  <c:v>3.67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D4-49B1-B202-BA62626A28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5213056"/>
        <c:axId val="78905344"/>
      </c:barChart>
      <c:catAx>
        <c:axId val="7521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905344"/>
        <c:crosses val="autoZero"/>
        <c:auto val="1"/>
        <c:lblAlgn val="ctr"/>
        <c:lblOffset val="100"/>
        <c:noMultiLvlLbl val="0"/>
      </c:catAx>
      <c:valAx>
        <c:axId val="78905344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213056"/>
        <c:crosses val="autoZero"/>
        <c:crossBetween val="between"/>
        <c:majorUnit val="0.2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Sophomores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3.73</c:v>
                </c:pt>
                <c:pt idx="1">
                  <c:v>3.76</c:v>
                </c:pt>
                <c:pt idx="2">
                  <c:v>3.75</c:v>
                </c:pt>
                <c:pt idx="3">
                  <c:v>3.75</c:v>
                </c:pt>
                <c:pt idx="4">
                  <c:v>3.72</c:v>
                </c:pt>
                <c:pt idx="5">
                  <c:v>3.78</c:v>
                </c:pt>
                <c:pt idx="6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C-420D-988F-311DFFEB4B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9114624"/>
        <c:axId val="59138048"/>
      </c:barChart>
      <c:catAx>
        <c:axId val="5911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138048"/>
        <c:crosses val="autoZero"/>
        <c:auto val="1"/>
        <c:lblAlgn val="ctr"/>
        <c:lblOffset val="100"/>
        <c:noMultiLvlLbl val="0"/>
      </c:catAx>
      <c:valAx>
        <c:axId val="59138048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114624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Freshmen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Freshman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Fall 2010</c:v>
                </c:pt>
                <c:pt idx="1">
                  <c:v>Spring 2011</c:v>
                </c:pt>
                <c:pt idx="2">
                  <c:v>Fall 2011</c:v>
                </c:pt>
                <c:pt idx="3">
                  <c:v>Spring 2012</c:v>
                </c:pt>
                <c:pt idx="4">
                  <c:v>Fall 2012</c:v>
                </c:pt>
                <c:pt idx="5">
                  <c:v>Spring 2013</c:v>
                </c:pt>
                <c:pt idx="6">
                  <c:v>Fall 2013</c:v>
                </c:pt>
                <c:pt idx="7">
                  <c:v>Spring 2014</c:v>
                </c:pt>
                <c:pt idx="8">
                  <c:v>Fall 2014</c:v>
                </c:pt>
                <c:pt idx="9">
                  <c:v>Spring 2015</c:v>
                </c:pt>
                <c:pt idx="10">
                  <c:v>Fall 2015</c:v>
                </c:pt>
                <c:pt idx="11">
                  <c:v>Spring 2016</c:v>
                </c:pt>
                <c:pt idx="12">
                  <c:v>Fall 2016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3.71</c:v>
                </c:pt>
                <c:pt idx="1">
                  <c:v>3.62</c:v>
                </c:pt>
                <c:pt idx="2">
                  <c:v>3.64</c:v>
                </c:pt>
                <c:pt idx="3">
                  <c:v>3.6</c:v>
                </c:pt>
                <c:pt idx="4">
                  <c:v>3.69</c:v>
                </c:pt>
                <c:pt idx="5">
                  <c:v>3.67</c:v>
                </c:pt>
                <c:pt idx="6">
                  <c:v>3.71</c:v>
                </c:pt>
                <c:pt idx="7">
                  <c:v>3.66</c:v>
                </c:pt>
                <c:pt idx="8">
                  <c:v>3.69</c:v>
                </c:pt>
                <c:pt idx="9">
                  <c:v>3.67</c:v>
                </c:pt>
                <c:pt idx="10">
                  <c:v>3.72</c:v>
                </c:pt>
                <c:pt idx="11">
                  <c:v>3.67</c:v>
                </c:pt>
                <c:pt idx="12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FF-44EC-B354-ACD23A7A15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9157120"/>
        <c:axId val="59160064"/>
      </c:barChart>
      <c:catAx>
        <c:axId val="59157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160064"/>
        <c:crosses val="autoZero"/>
        <c:auto val="1"/>
        <c:lblAlgn val="ctr"/>
        <c:lblOffset val="100"/>
        <c:noMultiLvlLbl val="0"/>
      </c:catAx>
      <c:valAx>
        <c:axId val="59160064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157120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Freshmen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4800719354525136E-2"/>
          <c:y val="0.16370992482244703"/>
          <c:w val="0.93131039175658603"/>
          <c:h val="0.66764033528067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Freshman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3.67</c:v>
                </c:pt>
                <c:pt idx="1">
                  <c:v>3.71</c:v>
                </c:pt>
                <c:pt idx="2">
                  <c:v>3.65</c:v>
                </c:pt>
                <c:pt idx="3">
                  <c:v>3.67</c:v>
                </c:pt>
                <c:pt idx="4">
                  <c:v>3.68</c:v>
                </c:pt>
                <c:pt idx="5">
                  <c:v>3.66</c:v>
                </c:pt>
                <c:pt idx="6">
                  <c:v>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F-47FC-8637-32F89277A8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0629760"/>
        <c:axId val="60632448"/>
      </c:barChart>
      <c:catAx>
        <c:axId val="60629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632448"/>
        <c:crosses val="autoZero"/>
        <c:auto val="1"/>
        <c:lblAlgn val="ctr"/>
        <c:lblOffset val="100"/>
        <c:noMultiLvlLbl val="0"/>
      </c:catAx>
      <c:valAx>
        <c:axId val="60632448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629760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Comparative Performance by Academic Year</a:t>
            </a:r>
          </a:p>
          <a:p>
            <a:pPr>
              <a:defRPr/>
            </a:pP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Students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3.74</c:v>
                </c:pt>
                <c:pt idx="1">
                  <c:v>3.75</c:v>
                </c:pt>
                <c:pt idx="2">
                  <c:v>3.74</c:v>
                </c:pt>
                <c:pt idx="3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7-45C6-AB7E-8C4266BC53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Seniors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3.74</c:v>
                </c:pt>
                <c:pt idx="1">
                  <c:v>3.77</c:v>
                </c:pt>
                <c:pt idx="2">
                  <c:v>3.78</c:v>
                </c:pt>
                <c:pt idx="3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F7-45C6-AB7E-8C4266BC53B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Juniors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3.76</c:v>
                </c:pt>
                <c:pt idx="1">
                  <c:v>3.76</c:v>
                </c:pt>
                <c:pt idx="2">
                  <c:v>3.74</c:v>
                </c:pt>
                <c:pt idx="3">
                  <c:v>3.79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F7-45C6-AB7E-8C4266BC53B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Sophomores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3.73</c:v>
                </c:pt>
                <c:pt idx="1">
                  <c:v>3.75</c:v>
                </c:pt>
                <c:pt idx="2">
                  <c:v>3.72</c:v>
                </c:pt>
                <c:pt idx="3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F7-45C6-AB7E-8C4266BC53B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Freshmen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Sheet1!$A$2:$A$7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3.67</c:v>
                </c:pt>
                <c:pt idx="1">
                  <c:v>3.65</c:v>
                </c:pt>
                <c:pt idx="2">
                  <c:v>3.71</c:v>
                </c:pt>
                <c:pt idx="3">
                  <c:v>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F7-45C6-AB7E-8C4266BC53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286912"/>
        <c:axId val="43288448"/>
      </c:barChart>
      <c:catAx>
        <c:axId val="4328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288448"/>
        <c:crosses val="autoZero"/>
        <c:auto val="1"/>
        <c:lblAlgn val="ctr"/>
        <c:lblOffset val="100"/>
        <c:noMultiLvlLbl val="0"/>
      </c:catAx>
      <c:valAx>
        <c:axId val="43288448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286912"/>
        <c:crosses val="autoZero"/>
        <c:crossBetween val="between"/>
        <c:majorUnit val="0.2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All Students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3937190142898822E-2"/>
          <c:y val="0.14081238643246519"/>
          <c:w val="0.88059984689413828"/>
          <c:h val="0.76670288930896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Cumulative GPA, All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Fall 2010</c:v>
                </c:pt>
                <c:pt idx="1">
                  <c:v>Spring 2011</c:v>
                </c:pt>
                <c:pt idx="2">
                  <c:v>Fall 2011</c:v>
                </c:pt>
                <c:pt idx="3">
                  <c:v>Spring 2012</c:v>
                </c:pt>
                <c:pt idx="4">
                  <c:v>Fall 2012</c:v>
                </c:pt>
                <c:pt idx="5">
                  <c:v>Spring 2013</c:v>
                </c:pt>
                <c:pt idx="6">
                  <c:v>Fall 2013</c:v>
                </c:pt>
                <c:pt idx="7">
                  <c:v>Spring 2014</c:v>
                </c:pt>
                <c:pt idx="8">
                  <c:v>Fall 2014</c:v>
                </c:pt>
                <c:pt idx="9">
                  <c:v>Spring 2015</c:v>
                </c:pt>
                <c:pt idx="10">
                  <c:v>Fall 2015</c:v>
                </c:pt>
                <c:pt idx="11">
                  <c:v>Spring 2016</c:v>
                </c:pt>
                <c:pt idx="12">
                  <c:v>Fall 2016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3.75</c:v>
                </c:pt>
                <c:pt idx="1">
                  <c:v>3.73</c:v>
                </c:pt>
                <c:pt idx="2">
                  <c:v>3.72</c:v>
                </c:pt>
                <c:pt idx="3">
                  <c:v>3.72</c:v>
                </c:pt>
                <c:pt idx="4">
                  <c:v>3.73</c:v>
                </c:pt>
                <c:pt idx="5">
                  <c:v>3.73</c:v>
                </c:pt>
                <c:pt idx="6">
                  <c:v>3.73</c:v>
                </c:pt>
                <c:pt idx="7">
                  <c:v>3.72</c:v>
                </c:pt>
                <c:pt idx="8">
                  <c:v>3.72</c:v>
                </c:pt>
                <c:pt idx="9">
                  <c:v>3.72</c:v>
                </c:pt>
                <c:pt idx="10">
                  <c:v>3.73</c:v>
                </c:pt>
                <c:pt idx="11">
                  <c:v>3.74</c:v>
                </c:pt>
                <c:pt idx="12">
                  <c:v>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F-4465-B669-EDDA6A6934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17504"/>
        <c:axId val="75689984"/>
      </c:barChart>
      <c:catAx>
        <c:axId val="4331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689984"/>
        <c:crosses val="autoZero"/>
        <c:auto val="1"/>
        <c:lblAlgn val="ctr"/>
        <c:lblOffset val="100"/>
        <c:noMultiLvlLbl val="0"/>
      </c:catAx>
      <c:valAx>
        <c:axId val="75689984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17504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All Students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3937190142898822E-2"/>
          <c:y val="0.14081238643246519"/>
          <c:w val="0.88059984689413828"/>
          <c:h val="0.76670288930896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Cumulative GPA, All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3.74</c:v>
                </c:pt>
                <c:pt idx="1">
                  <c:v>3.75</c:v>
                </c:pt>
                <c:pt idx="2">
                  <c:v>3.75</c:v>
                </c:pt>
                <c:pt idx="3">
                  <c:v>3.73</c:v>
                </c:pt>
                <c:pt idx="4">
                  <c:v>3.74</c:v>
                </c:pt>
                <c:pt idx="5">
                  <c:v>3.75</c:v>
                </c:pt>
                <c:pt idx="6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7-42C2-AC8A-4F881BE37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606528"/>
        <c:axId val="79608064"/>
      </c:barChart>
      <c:catAx>
        <c:axId val="79606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608064"/>
        <c:crosses val="autoZero"/>
        <c:auto val="1"/>
        <c:lblAlgn val="ctr"/>
        <c:lblOffset val="100"/>
        <c:noMultiLvlLbl val="0"/>
      </c:catAx>
      <c:valAx>
        <c:axId val="79608064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606528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Seniors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Cumulative GPA, Seniors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Fall 2010</c:v>
                </c:pt>
                <c:pt idx="1">
                  <c:v>Spring 2011</c:v>
                </c:pt>
                <c:pt idx="2">
                  <c:v>Fall 2011</c:v>
                </c:pt>
                <c:pt idx="3">
                  <c:v>Spring 2012</c:v>
                </c:pt>
                <c:pt idx="4">
                  <c:v>Fall 2012</c:v>
                </c:pt>
                <c:pt idx="5">
                  <c:v>Spring 2013</c:v>
                </c:pt>
                <c:pt idx="6">
                  <c:v>Fall 2013</c:v>
                </c:pt>
                <c:pt idx="7">
                  <c:v>Spring 2014</c:v>
                </c:pt>
                <c:pt idx="8">
                  <c:v>Fall 2014</c:v>
                </c:pt>
                <c:pt idx="9">
                  <c:v>Spring 2015</c:v>
                </c:pt>
                <c:pt idx="10">
                  <c:v>Fall 2015</c:v>
                </c:pt>
                <c:pt idx="11">
                  <c:v>Spring 2016</c:v>
                </c:pt>
                <c:pt idx="12">
                  <c:v>Fall 2016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3.76</c:v>
                </c:pt>
                <c:pt idx="1">
                  <c:v>3.76</c:v>
                </c:pt>
                <c:pt idx="2">
                  <c:v>3.76</c:v>
                </c:pt>
                <c:pt idx="3">
                  <c:v>3.76</c:v>
                </c:pt>
                <c:pt idx="4">
                  <c:v>3.75</c:v>
                </c:pt>
                <c:pt idx="5">
                  <c:v>3.75</c:v>
                </c:pt>
                <c:pt idx="6">
                  <c:v>3.72</c:v>
                </c:pt>
                <c:pt idx="7">
                  <c:v>3.72</c:v>
                </c:pt>
                <c:pt idx="8">
                  <c:v>3.72</c:v>
                </c:pt>
                <c:pt idx="9">
                  <c:v>3.74</c:v>
                </c:pt>
                <c:pt idx="10">
                  <c:v>3.73</c:v>
                </c:pt>
                <c:pt idx="11">
                  <c:v>3.74</c:v>
                </c:pt>
                <c:pt idx="12">
                  <c:v>3.72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5-44E3-9A61-99B000BCD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10464"/>
        <c:axId val="79712256"/>
      </c:barChart>
      <c:catAx>
        <c:axId val="79710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712256"/>
        <c:crosses val="autoZero"/>
        <c:auto val="1"/>
        <c:lblAlgn val="ctr"/>
        <c:lblOffset val="100"/>
        <c:noMultiLvlLbl val="0"/>
      </c:catAx>
      <c:valAx>
        <c:axId val="79712256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710464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Avg. Cumulative GPA, Seniors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Cumulative GPA, Seniors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3.74</c:v>
                </c:pt>
                <c:pt idx="1">
                  <c:v>3.75</c:v>
                </c:pt>
                <c:pt idx="2">
                  <c:v>3.77</c:v>
                </c:pt>
                <c:pt idx="3">
                  <c:v>3.77</c:v>
                </c:pt>
                <c:pt idx="4">
                  <c:v>3.78</c:v>
                </c:pt>
                <c:pt idx="5">
                  <c:v>3.77</c:v>
                </c:pt>
                <c:pt idx="6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2A-42EB-B03F-DC20D9C5A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28640"/>
        <c:axId val="79730176"/>
      </c:barChart>
      <c:catAx>
        <c:axId val="79728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730176"/>
        <c:crosses val="autoZero"/>
        <c:auto val="1"/>
        <c:lblAlgn val="ctr"/>
        <c:lblOffset val="100"/>
        <c:noMultiLvlLbl val="0"/>
      </c:catAx>
      <c:valAx>
        <c:axId val="79730176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728640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Juniors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Fall 2010</c:v>
                </c:pt>
                <c:pt idx="1">
                  <c:v>Spring 2011</c:v>
                </c:pt>
                <c:pt idx="2">
                  <c:v>Fall 2011</c:v>
                </c:pt>
                <c:pt idx="3">
                  <c:v>Spring 2012</c:v>
                </c:pt>
                <c:pt idx="4">
                  <c:v>Fall 2012</c:v>
                </c:pt>
                <c:pt idx="5">
                  <c:v>Spring 2013</c:v>
                </c:pt>
                <c:pt idx="6">
                  <c:v>Fall 2013</c:v>
                </c:pt>
                <c:pt idx="7">
                  <c:v>Spring 2014</c:v>
                </c:pt>
                <c:pt idx="8">
                  <c:v>Fall 2014</c:v>
                </c:pt>
                <c:pt idx="9">
                  <c:v>Spring 2015</c:v>
                </c:pt>
                <c:pt idx="10">
                  <c:v>Fall 2015</c:v>
                </c:pt>
                <c:pt idx="11">
                  <c:v>Spring 2016</c:v>
                </c:pt>
                <c:pt idx="12">
                  <c:v>Fall 2016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3.76</c:v>
                </c:pt>
                <c:pt idx="1">
                  <c:v>3.75</c:v>
                </c:pt>
                <c:pt idx="2">
                  <c:v>3.76</c:v>
                </c:pt>
                <c:pt idx="3">
                  <c:v>3.73</c:v>
                </c:pt>
                <c:pt idx="4">
                  <c:v>3.72</c:v>
                </c:pt>
                <c:pt idx="5">
                  <c:v>3.72</c:v>
                </c:pt>
                <c:pt idx="6">
                  <c:v>3.73</c:v>
                </c:pt>
                <c:pt idx="7">
                  <c:v>3.73</c:v>
                </c:pt>
                <c:pt idx="8">
                  <c:v>3.74</c:v>
                </c:pt>
                <c:pt idx="9">
                  <c:v>3.72</c:v>
                </c:pt>
                <c:pt idx="10">
                  <c:v>3.74</c:v>
                </c:pt>
                <c:pt idx="11">
                  <c:v>3.75</c:v>
                </c:pt>
                <c:pt idx="12">
                  <c:v>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DC-4223-A25F-D0F3FE210B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856000"/>
        <c:axId val="79858688"/>
      </c:barChart>
      <c:catAx>
        <c:axId val="7985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858688"/>
        <c:crosses val="autoZero"/>
        <c:auto val="1"/>
        <c:lblAlgn val="ctr"/>
        <c:lblOffset val="100"/>
        <c:noMultiLvlLbl val="0"/>
      </c:catAx>
      <c:valAx>
        <c:axId val="79858688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856000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Juniors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3.76</c:v>
                </c:pt>
                <c:pt idx="1">
                  <c:v>3.76</c:v>
                </c:pt>
                <c:pt idx="2">
                  <c:v>3.76</c:v>
                </c:pt>
                <c:pt idx="3">
                  <c:v>3.74</c:v>
                </c:pt>
                <c:pt idx="4">
                  <c:v>3.74</c:v>
                </c:pt>
                <c:pt idx="5">
                  <c:v>3.76</c:v>
                </c:pt>
                <c:pt idx="6">
                  <c:v>3.79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B-485D-A91B-7AF74FBE64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882496"/>
        <c:axId val="79885440"/>
      </c:barChart>
      <c:catAx>
        <c:axId val="7988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885440"/>
        <c:crosses val="autoZero"/>
        <c:auto val="1"/>
        <c:lblAlgn val="ctr"/>
        <c:lblOffset val="100"/>
        <c:noMultiLvlLbl val="0"/>
      </c:catAx>
      <c:valAx>
        <c:axId val="79885440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882496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Avg. Cumulative GPA, Sophomores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Fall 2010</c:v>
                </c:pt>
                <c:pt idx="1">
                  <c:v>Spring 2011</c:v>
                </c:pt>
                <c:pt idx="2">
                  <c:v>Fall 2011</c:v>
                </c:pt>
                <c:pt idx="3">
                  <c:v>Spring 2012</c:v>
                </c:pt>
                <c:pt idx="4">
                  <c:v>Fall 2012</c:v>
                </c:pt>
                <c:pt idx="5">
                  <c:v>Spring 2013</c:v>
                </c:pt>
                <c:pt idx="6">
                  <c:v>Fall 2013</c:v>
                </c:pt>
                <c:pt idx="7">
                  <c:v>Spring 2014</c:v>
                </c:pt>
                <c:pt idx="8">
                  <c:v>Fall 2014</c:v>
                </c:pt>
                <c:pt idx="9">
                  <c:v>Spring 2015</c:v>
                </c:pt>
                <c:pt idx="10">
                  <c:v>Fall 2015</c:v>
                </c:pt>
                <c:pt idx="11">
                  <c:v>Spring 2016</c:v>
                </c:pt>
                <c:pt idx="12">
                  <c:v>Fall 2016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3.77</c:v>
                </c:pt>
                <c:pt idx="1">
                  <c:v>3.73</c:v>
                </c:pt>
                <c:pt idx="2">
                  <c:v>3.74</c:v>
                </c:pt>
                <c:pt idx="3">
                  <c:v>3.7</c:v>
                </c:pt>
                <c:pt idx="4">
                  <c:v>3.73</c:v>
                </c:pt>
                <c:pt idx="5">
                  <c:v>3.73</c:v>
                </c:pt>
                <c:pt idx="6">
                  <c:v>3.76</c:v>
                </c:pt>
                <c:pt idx="7">
                  <c:v>3.75</c:v>
                </c:pt>
                <c:pt idx="8">
                  <c:v>3.73</c:v>
                </c:pt>
                <c:pt idx="9">
                  <c:v>3.73</c:v>
                </c:pt>
                <c:pt idx="10">
                  <c:v>3.74</c:v>
                </c:pt>
                <c:pt idx="11">
                  <c:v>3.77</c:v>
                </c:pt>
                <c:pt idx="12">
                  <c:v>3.76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D-4A55-A1CC-CC9F79D7E7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707008"/>
        <c:axId val="81709696"/>
      </c:barChart>
      <c:catAx>
        <c:axId val="81707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709696"/>
        <c:crosses val="autoZero"/>
        <c:auto val="1"/>
        <c:lblAlgn val="ctr"/>
        <c:lblOffset val="100"/>
        <c:noMultiLvlLbl val="0"/>
      </c:catAx>
      <c:valAx>
        <c:axId val="81709696"/>
        <c:scaling>
          <c:orientation val="minMax"/>
          <c:max val="4"/>
          <c:min val="3.2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707008"/>
        <c:crosses val="autoZero"/>
        <c:crossBetween val="between"/>
        <c:majorUnit val="0.2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76F4323191F408D31E6162F41C1F1" ma:contentTypeVersion="12" ma:contentTypeDescription="Create a new document." ma:contentTypeScope="" ma:versionID="c001afbab9f494d54c3031b6b3bf14c4">
  <xsd:schema xmlns:xsd="http://www.w3.org/2001/XMLSchema" xmlns:xs="http://www.w3.org/2001/XMLSchema" xmlns:p="http://schemas.microsoft.com/office/2006/metadata/properties" xmlns:ns2="15e5e635-cc14-4536-8e96-a34f4f0be03e" xmlns:ns3="6a139a88-6b6e-47fe-aa91-71e147bd9c00" targetNamespace="http://schemas.microsoft.com/office/2006/metadata/properties" ma:root="true" ma:fieldsID="978b88d45c135e336ab29254a95fe860" ns2:_="" ns3:_="">
    <xsd:import namespace="15e5e635-cc14-4536-8e96-a34f4f0be03e"/>
    <xsd:import namespace="6a139a88-6b6e-47fe-aa91-71e147bd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e635-cc14-4536-8e96-a34f4f0b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9a88-6b6e-47fe-aa91-71e147bd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6C6BA-DA6A-487E-9AB3-F6F7FDFF06E6}"/>
</file>

<file path=customXml/itemProps2.xml><?xml version="1.0" encoding="utf-8"?>
<ds:datastoreItem xmlns:ds="http://schemas.openxmlformats.org/officeDocument/2006/customXml" ds:itemID="{5B35F272-10DC-4EBE-B8EE-27323617E01E}"/>
</file>

<file path=customXml/itemProps3.xml><?xml version="1.0" encoding="utf-8"?>
<ds:datastoreItem xmlns:ds="http://schemas.openxmlformats.org/officeDocument/2006/customXml" ds:itemID="{B5E9A5BE-60DB-41A0-A392-5A86D6F21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Scott E</dc:creator>
  <cp:lastModifiedBy>Handley, Scott E</cp:lastModifiedBy>
  <cp:revision>8</cp:revision>
  <dcterms:created xsi:type="dcterms:W3CDTF">2019-07-19T16:26:00Z</dcterms:created>
  <dcterms:modified xsi:type="dcterms:W3CDTF">2020-08-25T21:26:00Z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0x010100DC476F4323191F408D31E6162F41C1F1</vt:lpwstr>
  </property>
</Properties>
</file>