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DBEC7" w14:textId="5B29C849" w:rsidR="00B73A1B" w:rsidRDefault="00C23094" w:rsidP="00E24734">
      <w:pPr>
        <w:pStyle w:val="Title"/>
      </w:pPr>
      <w:r>
        <w:t>SEM Strategies</w:t>
      </w:r>
    </w:p>
    <w:p w14:paraId="63B200D4" w14:textId="2DA6B4F6" w:rsidR="00C23094" w:rsidRDefault="00C23094" w:rsidP="31C992C0">
      <w:pPr>
        <w:pStyle w:val="Subtitle"/>
      </w:pPr>
      <w:r>
        <w:t>Updated 1</w:t>
      </w:r>
      <w:r w:rsidR="00956DAD">
        <w:t>2</w:t>
      </w:r>
      <w:r>
        <w:t>/</w:t>
      </w:r>
      <w:r w:rsidR="00956DAD">
        <w:t>1</w:t>
      </w:r>
      <w:r>
        <w:t>/2020</w:t>
      </w:r>
    </w:p>
    <w:p w14:paraId="5E947E8A" w14:textId="77777777" w:rsidR="00AD6E3A" w:rsidRPr="00DB104A" w:rsidRDefault="00AD6E3A" w:rsidP="00BF09FC">
      <w:pPr>
        <w:pStyle w:val="NoSpacing"/>
      </w:pPr>
      <w:r>
        <w:t xml:space="preserve">The baseline for these goals will be fall 2020 for goals one and two, FY20 for goal three, and the 2019-20 academic year for goal four. While 2026 exists as the target date, because of varying internal and external circumstances (e.g., demographic shifts, the economy, university funding, challenges related to the pandemic, significant hindrances regarding international students), the SEM Steering Committee will annually review goals and adjust accordingly with approval from the Senior Leadership Team. In addition to recent factors, a </w:t>
      </w:r>
      <w:r w:rsidRPr="001C5D19">
        <w:t xml:space="preserve">historical </w:t>
      </w:r>
      <w:r>
        <w:t xml:space="preserve">enrollment </w:t>
      </w:r>
      <w:r w:rsidRPr="001C5D19">
        <w:t>perspective will</w:t>
      </w:r>
      <w:r>
        <w:t xml:space="preserve"> be considered as well.</w:t>
      </w:r>
    </w:p>
    <w:p w14:paraId="7A00CC6D" w14:textId="77777777" w:rsidR="00C23094" w:rsidRDefault="00C23094" w:rsidP="00F950CB">
      <w:pPr>
        <w:pStyle w:val="Heading1"/>
      </w:pPr>
      <w:r>
        <w:t>1. Outreach and Recruitment</w:t>
      </w:r>
    </w:p>
    <w:p w14:paraId="0BAF5D0C" w14:textId="10CE9FF5" w:rsidR="00C23094" w:rsidRDefault="00C23094" w:rsidP="00C23094">
      <w:pPr>
        <w:pStyle w:val="NoSpacing"/>
      </w:pPr>
      <w:r w:rsidRPr="00FC77B5">
        <w:t>By 2026, with particular focus on targeted student populations, increase overall headcount enrollment by 5% and increase FTE enrollment by 3%.</w:t>
      </w:r>
    </w:p>
    <w:p w14:paraId="61DB4082" w14:textId="3346B882" w:rsidR="002C1F9A" w:rsidRDefault="002C1F9A" w:rsidP="00C23094">
      <w:pPr>
        <w:pStyle w:val="NoSpacing"/>
      </w:pPr>
    </w:p>
    <w:p w14:paraId="2B96012E" w14:textId="33B0F225" w:rsidR="009927AF" w:rsidRDefault="009927AF" w:rsidP="00A16EB1">
      <w:pPr>
        <w:pStyle w:val="Heading2"/>
      </w:pPr>
      <w:r>
        <w:t>Strategies</w:t>
      </w:r>
    </w:p>
    <w:p w14:paraId="0A5A796F" w14:textId="77777777" w:rsidR="00A16EB1" w:rsidRDefault="00A16EB1" w:rsidP="00A16EB1">
      <w:pPr>
        <w:pStyle w:val="NoSpacing"/>
        <w:numPr>
          <w:ilvl w:val="0"/>
          <w:numId w:val="6"/>
        </w:numPr>
      </w:pPr>
      <w:r>
        <w:t>Through a data-driven approach, project targeted student populations (e.g., FTNICs, new UG transfers, graduate, international, underrepresented, adult/non-traditional, online, geographic location, academic aptitude) for growth or decline and develop appropriate communication and recruitment efforts accordingly.</w:t>
      </w:r>
    </w:p>
    <w:p w14:paraId="4BF154D7" w14:textId="4D45BA56" w:rsidR="00A16EB1" w:rsidRDefault="004537D9" w:rsidP="00A16EB1">
      <w:pPr>
        <w:pStyle w:val="NoSpacing"/>
        <w:numPr>
          <w:ilvl w:val="0"/>
          <w:numId w:val="6"/>
        </w:numPr>
      </w:pPr>
      <w:r>
        <w:t>Elevate</w:t>
      </w:r>
      <w:r w:rsidR="00A16EB1">
        <w:t xml:space="preserve"> the reputation</w:t>
      </w:r>
      <w:r w:rsidR="00A16EB1" w:rsidRPr="00D505CE">
        <w:t xml:space="preserve"> of the University’s academic </w:t>
      </w:r>
      <w:r w:rsidR="000A1B22">
        <w:t>programs</w:t>
      </w:r>
      <w:r w:rsidR="000A1B22" w:rsidRPr="00D505CE">
        <w:t xml:space="preserve"> </w:t>
      </w:r>
      <w:r w:rsidR="00A16EB1" w:rsidRPr="00D505CE">
        <w:t xml:space="preserve">through the pursuit of new and emerging academic </w:t>
      </w:r>
      <w:r w:rsidR="006F0960">
        <w:t>offerings</w:t>
      </w:r>
      <w:r w:rsidR="006F0960" w:rsidRPr="00D505CE">
        <w:t xml:space="preserve"> </w:t>
      </w:r>
      <w:r w:rsidR="00A16EB1" w:rsidRPr="00D505CE">
        <w:t xml:space="preserve">and delivery modes, enrichment of existing curriculum and research, and equipping of students for successful career outcomes that meet workforce </w:t>
      </w:r>
      <w:r w:rsidR="00A16EB1">
        <w:t xml:space="preserve">and market </w:t>
      </w:r>
      <w:r w:rsidR="00A16EB1" w:rsidRPr="00D505CE">
        <w:t>demands.</w:t>
      </w:r>
    </w:p>
    <w:p w14:paraId="17E55273" w14:textId="77777777" w:rsidR="00EE6602" w:rsidRDefault="00A16EB1" w:rsidP="00A72EC2">
      <w:pPr>
        <w:pStyle w:val="NoSpacing"/>
        <w:numPr>
          <w:ilvl w:val="0"/>
          <w:numId w:val="6"/>
        </w:numPr>
      </w:pPr>
      <w:r>
        <w:t>Enhance both internal and external communication and marketing about the University’s enrollment, recruitment, and brand to both maintain and grow an engaged and educated campus community, and appeal to prospective students and other external stakeholders.</w:t>
      </w:r>
    </w:p>
    <w:p w14:paraId="23500E2F" w14:textId="5E525720" w:rsidR="00A16EB1" w:rsidRDefault="00A16EB1" w:rsidP="00A72EC2">
      <w:pPr>
        <w:pStyle w:val="NoSpacing"/>
        <w:numPr>
          <w:ilvl w:val="0"/>
          <w:numId w:val="6"/>
        </w:numPr>
      </w:pPr>
      <w:r>
        <w:t>Increase emphasis on outreach through relationship-building and effective communication with high school counselors, teachers, community college advisors, community partner organizations, and access programs for underserved populations.</w:t>
      </w:r>
    </w:p>
    <w:p w14:paraId="02900040" w14:textId="77777777" w:rsidR="005307D1" w:rsidRDefault="005307D1">
      <w:pPr>
        <w:rPr>
          <w:rFonts w:asciiTheme="majorHAnsi" w:eastAsiaTheme="majorEastAsia" w:hAnsiTheme="majorHAnsi" w:cstheme="majorBidi"/>
          <w:color w:val="2F5496" w:themeColor="accent1" w:themeShade="BF"/>
          <w:sz w:val="32"/>
          <w:szCs w:val="32"/>
        </w:rPr>
      </w:pPr>
      <w:r>
        <w:br w:type="page"/>
      </w:r>
    </w:p>
    <w:p w14:paraId="0307ADA6" w14:textId="3B067A56" w:rsidR="00C23094" w:rsidRPr="00F950CB" w:rsidRDefault="00C23094" w:rsidP="00F950CB">
      <w:pPr>
        <w:pStyle w:val="Heading1"/>
      </w:pPr>
      <w:r w:rsidRPr="00F950CB">
        <w:lastRenderedPageBreak/>
        <w:t>2. Retention and Student Success</w:t>
      </w:r>
    </w:p>
    <w:p w14:paraId="589D65BC" w14:textId="02F52DBF" w:rsidR="00C23094" w:rsidRDefault="00C23094" w:rsidP="00C23094">
      <w:pPr>
        <w:pStyle w:val="NoSpacing"/>
        <w:rPr>
          <w:color w:val="000000" w:themeColor="text1"/>
        </w:rPr>
      </w:pPr>
      <w:r w:rsidRPr="276D981F">
        <w:rPr>
          <w:color w:val="000000" w:themeColor="text1"/>
        </w:rPr>
        <w:t>By 2026, increase the first to second year undergraduate student retention rate by</w:t>
      </w:r>
      <w:r w:rsidR="00BF09FC" w:rsidRPr="276D981F">
        <w:rPr>
          <w:color w:val="000000" w:themeColor="text1"/>
        </w:rPr>
        <w:t xml:space="preserve"> 3%,</w:t>
      </w:r>
      <w:r w:rsidRPr="276D981F">
        <w:rPr>
          <w:color w:val="000000" w:themeColor="text1"/>
        </w:rPr>
        <w:t xml:space="preserve"> with a focus on improving retention by 5% for each of these sub-groups: African American, Hispanic/Latino/Latinx, first-generation and Pell eligible students; and improve persistence at other critical transition points.</w:t>
      </w:r>
    </w:p>
    <w:p w14:paraId="12E8A7F8" w14:textId="028095B0" w:rsidR="00527923" w:rsidRDefault="00527923" w:rsidP="00C23094">
      <w:pPr>
        <w:pStyle w:val="NoSpacing"/>
        <w:rPr>
          <w:color w:val="000000" w:themeColor="text1"/>
        </w:rPr>
      </w:pPr>
    </w:p>
    <w:p w14:paraId="5A9A9CF0" w14:textId="77777777" w:rsidR="001F31E1" w:rsidRDefault="001F31E1" w:rsidP="001F31E1">
      <w:pPr>
        <w:pStyle w:val="Heading2"/>
      </w:pPr>
      <w:r>
        <w:t>Strategies</w:t>
      </w:r>
    </w:p>
    <w:p w14:paraId="1A7A228D" w14:textId="57431082" w:rsidR="009F440C" w:rsidRDefault="009F440C" w:rsidP="009F440C">
      <w:pPr>
        <w:pStyle w:val="ListParagraph"/>
        <w:numPr>
          <w:ilvl w:val="0"/>
          <w:numId w:val="6"/>
        </w:numPr>
        <w:rPr>
          <w:rFonts w:ascii="Calibri" w:eastAsia="Times New Roman" w:hAnsi="Calibri" w:cs="Calibri"/>
          <w:color w:val="auto"/>
          <w:sz w:val="22"/>
          <w:szCs w:val="22"/>
        </w:rPr>
      </w:pPr>
      <w:r>
        <w:rPr>
          <w:rFonts w:ascii="Calibri" w:eastAsia="Times New Roman" w:hAnsi="Calibri" w:cs="Calibri"/>
          <w:color w:val="auto"/>
          <w:sz w:val="22"/>
          <w:szCs w:val="22"/>
        </w:rPr>
        <w:t xml:space="preserve">Support initiatives that foster student success, </w:t>
      </w:r>
      <w:proofErr w:type="gramStart"/>
      <w:r>
        <w:rPr>
          <w:rFonts w:ascii="Calibri" w:eastAsia="Times New Roman" w:hAnsi="Calibri" w:cs="Calibri"/>
          <w:color w:val="auto"/>
          <w:sz w:val="22"/>
          <w:szCs w:val="22"/>
        </w:rPr>
        <w:t>develop</w:t>
      </w:r>
      <w:proofErr w:type="gramEnd"/>
      <w:r>
        <w:rPr>
          <w:rFonts w:ascii="Calibri" w:eastAsia="Times New Roman" w:hAnsi="Calibri" w:cs="Calibri"/>
          <w:color w:val="auto"/>
          <w:sz w:val="22"/>
          <w:szCs w:val="22"/>
        </w:rPr>
        <w:t xml:space="preserve"> and strengthen early alert communications, enhance advising approaches, coordinate comprehensive student life cycle communications, and enhance collaboration among units and faculty/student connections, keeping in mind the various characteristics of different student populations.</w:t>
      </w:r>
    </w:p>
    <w:p w14:paraId="21E4D40C" w14:textId="2E0FDF88" w:rsidR="005F15AB" w:rsidRPr="00120A06" w:rsidRDefault="005F15AB" w:rsidP="005F15AB">
      <w:pPr>
        <w:pStyle w:val="NoSpacing"/>
        <w:numPr>
          <w:ilvl w:val="0"/>
          <w:numId w:val="6"/>
        </w:numPr>
        <w:rPr>
          <w:rFonts w:cstheme="minorHAnsi"/>
        </w:rPr>
      </w:pPr>
      <w:r w:rsidRPr="002322B7">
        <w:rPr>
          <w:rFonts w:cstheme="minorHAnsi"/>
          <w:color w:val="000000" w:themeColor="text1"/>
        </w:rPr>
        <w:t>Strengthen the first</w:t>
      </w:r>
      <w:r w:rsidR="001D4421">
        <w:rPr>
          <w:rFonts w:cstheme="minorHAnsi"/>
          <w:color w:val="000000" w:themeColor="text1"/>
        </w:rPr>
        <w:t>-</w:t>
      </w:r>
      <w:r w:rsidRPr="002322B7">
        <w:rPr>
          <w:rFonts w:cstheme="minorHAnsi"/>
          <w:color w:val="000000" w:themeColor="text1"/>
        </w:rPr>
        <w:t>year experience through enhancing</w:t>
      </w:r>
      <w:r w:rsidRPr="00ED146D">
        <w:t xml:space="preserve"> </w:t>
      </w:r>
      <w:r>
        <w:t>faculty and student connections in first-</w:t>
      </w:r>
      <w:r w:rsidRPr="00120A06">
        <w:rPr>
          <w:rFonts w:cstheme="minorHAnsi"/>
        </w:rPr>
        <w:t>year gateway and foundation courses, improving the effectiveness of GEP 101, and promoting opportunities that offer student engagement and support.</w:t>
      </w:r>
    </w:p>
    <w:p w14:paraId="62A7A0AE" w14:textId="77777777" w:rsidR="005F15AB" w:rsidRPr="00120A06" w:rsidRDefault="005F15AB" w:rsidP="005F15AB">
      <w:pPr>
        <w:pStyle w:val="NoSpacing"/>
        <w:numPr>
          <w:ilvl w:val="0"/>
          <w:numId w:val="2"/>
        </w:numPr>
        <w:rPr>
          <w:rFonts w:cstheme="minorHAnsi"/>
        </w:rPr>
      </w:pPr>
      <w:r w:rsidRPr="00120A06">
        <w:rPr>
          <w:rFonts w:cstheme="minorHAnsi"/>
        </w:rPr>
        <w:t>Improve the support services for students who historically have been less likely to persist.</w:t>
      </w:r>
    </w:p>
    <w:p w14:paraId="53CC289F" w14:textId="77777777" w:rsidR="005F15AB" w:rsidRPr="00120A06" w:rsidRDefault="005F15AB" w:rsidP="005F15AB">
      <w:pPr>
        <w:pStyle w:val="NoSpacing"/>
        <w:numPr>
          <w:ilvl w:val="0"/>
          <w:numId w:val="2"/>
        </w:numPr>
        <w:rPr>
          <w:rFonts w:cstheme="minorHAnsi"/>
        </w:rPr>
      </w:pPr>
      <w:r w:rsidRPr="00120A06">
        <w:rPr>
          <w:rFonts w:cstheme="minorHAnsi"/>
        </w:rPr>
        <w:t>Develop and strengthen programs that recruit and retain a diverse faculty and staff.</w:t>
      </w:r>
    </w:p>
    <w:p w14:paraId="40D206BE" w14:textId="2B29A2AD" w:rsidR="00ED1570" w:rsidRPr="001202D7" w:rsidRDefault="00987436" w:rsidP="001202D7">
      <w:pPr>
        <w:pStyle w:val="ListParagraph"/>
        <w:numPr>
          <w:ilvl w:val="0"/>
          <w:numId w:val="2"/>
        </w:numPr>
        <w:rPr>
          <w:rFonts w:asciiTheme="minorHAnsi" w:eastAsiaTheme="majorEastAsia" w:hAnsiTheme="minorHAnsi" w:cstheme="minorHAnsi"/>
          <w:color w:val="auto"/>
          <w:sz w:val="22"/>
          <w:szCs w:val="22"/>
        </w:rPr>
      </w:pPr>
      <w:r>
        <w:rPr>
          <w:rFonts w:asciiTheme="minorHAnsi" w:hAnsiTheme="minorHAnsi" w:cstheme="minorHAnsi"/>
          <w:color w:val="auto"/>
          <w:sz w:val="22"/>
          <w:szCs w:val="22"/>
        </w:rPr>
        <w:t>E</w:t>
      </w:r>
      <w:r w:rsidRPr="00120A06">
        <w:rPr>
          <w:rFonts w:asciiTheme="minorHAnsi" w:hAnsiTheme="minorHAnsi" w:cstheme="minorHAnsi"/>
          <w:color w:val="auto"/>
          <w:sz w:val="22"/>
          <w:szCs w:val="22"/>
        </w:rPr>
        <w:t xml:space="preserve">nhance faculty, staff, and student accountability </w:t>
      </w:r>
      <w:r w:rsidR="003D1215">
        <w:rPr>
          <w:rFonts w:asciiTheme="minorHAnsi" w:hAnsiTheme="minorHAnsi" w:cstheme="minorHAnsi"/>
          <w:color w:val="auto"/>
          <w:sz w:val="22"/>
          <w:szCs w:val="22"/>
        </w:rPr>
        <w:t>in</w:t>
      </w:r>
      <w:r w:rsidRPr="00120A06">
        <w:rPr>
          <w:rFonts w:asciiTheme="minorHAnsi" w:hAnsiTheme="minorHAnsi" w:cstheme="minorHAnsi"/>
          <w:color w:val="auto"/>
          <w:sz w:val="22"/>
          <w:szCs w:val="22"/>
        </w:rPr>
        <w:t xml:space="preserve"> becoming more culturally conscious </w:t>
      </w:r>
      <w:r w:rsidR="00ED1570">
        <w:rPr>
          <w:rFonts w:asciiTheme="minorHAnsi" w:hAnsiTheme="minorHAnsi" w:cstheme="minorHAnsi"/>
          <w:color w:val="auto"/>
          <w:sz w:val="22"/>
          <w:szCs w:val="22"/>
        </w:rPr>
        <w:t>by</w:t>
      </w:r>
      <w:r w:rsidR="00120A06" w:rsidRPr="00120A06">
        <w:rPr>
          <w:rFonts w:asciiTheme="minorHAnsi" w:hAnsiTheme="minorHAnsi" w:cstheme="minorHAnsi"/>
          <w:color w:val="auto"/>
          <w:sz w:val="22"/>
          <w:szCs w:val="22"/>
        </w:rPr>
        <w:t xml:space="preserve"> build</w:t>
      </w:r>
      <w:r w:rsidR="00ED1570">
        <w:rPr>
          <w:rFonts w:asciiTheme="minorHAnsi" w:hAnsiTheme="minorHAnsi" w:cstheme="minorHAnsi"/>
          <w:color w:val="auto"/>
          <w:sz w:val="22"/>
          <w:szCs w:val="22"/>
        </w:rPr>
        <w:t>ing</w:t>
      </w:r>
      <w:r w:rsidR="00120A06" w:rsidRPr="00120A06">
        <w:rPr>
          <w:rFonts w:asciiTheme="minorHAnsi" w:hAnsiTheme="minorHAnsi" w:cstheme="minorHAnsi"/>
          <w:color w:val="auto"/>
          <w:sz w:val="22"/>
          <w:szCs w:val="22"/>
        </w:rPr>
        <w:t xml:space="preserve"> a stronger sense of belonging and engagement at Missouri State and in the general community</w:t>
      </w:r>
      <w:r w:rsidR="00ED1570">
        <w:rPr>
          <w:rFonts w:asciiTheme="minorHAnsi" w:hAnsiTheme="minorHAnsi" w:cstheme="minorHAnsi"/>
          <w:color w:val="auto"/>
          <w:sz w:val="22"/>
          <w:szCs w:val="22"/>
        </w:rPr>
        <w:t>.</w:t>
      </w:r>
    </w:p>
    <w:p w14:paraId="7752A10F" w14:textId="77777777" w:rsidR="001202D7" w:rsidRPr="001202D7" w:rsidRDefault="001202D7" w:rsidP="001202D7">
      <w:pPr>
        <w:rPr>
          <w:rFonts w:eastAsiaTheme="majorEastAsia" w:cstheme="minorHAnsi"/>
        </w:rPr>
      </w:pPr>
    </w:p>
    <w:p w14:paraId="3D54704F" w14:textId="33CC547D" w:rsidR="00C23094" w:rsidRPr="00C23094" w:rsidRDefault="00C23094" w:rsidP="001B2932">
      <w:pPr>
        <w:pStyle w:val="Heading1"/>
      </w:pPr>
      <w:r>
        <w:t>3. Successful Graduation and/or Completion</w:t>
      </w:r>
    </w:p>
    <w:p w14:paraId="16F9A41B" w14:textId="4FE00079" w:rsidR="00C23094" w:rsidRDefault="00C23094" w:rsidP="00C23094">
      <w:pPr>
        <w:pStyle w:val="NoSpacing"/>
      </w:pPr>
      <w:r w:rsidRPr="00486D91">
        <w:t>By 2026 increase the number of credentials (e.g., degrees and certificates) awarded to 5,800 per year.</w:t>
      </w:r>
    </w:p>
    <w:p w14:paraId="5F7EFC9E" w14:textId="25AE315C" w:rsidR="00BD4C78" w:rsidRDefault="00BD4C78" w:rsidP="00C23094">
      <w:pPr>
        <w:pStyle w:val="NoSpacing"/>
      </w:pPr>
    </w:p>
    <w:p w14:paraId="13D45A89" w14:textId="77777777" w:rsidR="005F15AB" w:rsidRDefault="005F15AB" w:rsidP="005F15AB">
      <w:pPr>
        <w:pStyle w:val="Heading2"/>
      </w:pPr>
      <w:r>
        <w:t>Strategies</w:t>
      </w:r>
    </w:p>
    <w:p w14:paraId="08C7166B" w14:textId="4CC8E35D" w:rsidR="005421F0" w:rsidRDefault="00573F35" w:rsidP="005421F0">
      <w:pPr>
        <w:pStyle w:val="NoSpacing"/>
        <w:numPr>
          <w:ilvl w:val="0"/>
          <w:numId w:val="6"/>
        </w:numPr>
      </w:pPr>
      <w:r w:rsidRPr="00573F35">
        <w:t xml:space="preserve">Collaborate with advising administrators and stakeholders to discuss and refine advising models, </w:t>
      </w:r>
      <w:proofErr w:type="gramStart"/>
      <w:r w:rsidRPr="00573F35">
        <w:t>policies</w:t>
      </w:r>
      <w:proofErr w:type="gramEnd"/>
      <w:r w:rsidRPr="00573F35">
        <w:t xml:space="preserve"> and practices, within both centralized and college/department offices to support students on successful pathways to credential completion.</w:t>
      </w:r>
    </w:p>
    <w:p w14:paraId="58B3CCEE" w14:textId="51C74E09" w:rsidR="005421F0" w:rsidRDefault="005421F0" w:rsidP="005421F0">
      <w:pPr>
        <w:pStyle w:val="NoSpacing"/>
        <w:numPr>
          <w:ilvl w:val="0"/>
          <w:numId w:val="6"/>
        </w:numPr>
      </w:pPr>
      <w:r>
        <w:t xml:space="preserve">Support career readiness activities throughout the student life cycle through collaboration between the Career Center, academic and advising units, and other areas; the use of appropriate technology; and other </w:t>
      </w:r>
      <w:r w:rsidR="00E22A3C">
        <w:t xml:space="preserve">relevant </w:t>
      </w:r>
      <w:r>
        <w:t>initiatives.</w:t>
      </w:r>
    </w:p>
    <w:p w14:paraId="04C999EF" w14:textId="4C0EFDDD" w:rsidR="005421F0" w:rsidRDefault="00D54D2F" w:rsidP="005421F0">
      <w:pPr>
        <w:pStyle w:val="NoSpacing"/>
        <w:numPr>
          <w:ilvl w:val="0"/>
          <w:numId w:val="6"/>
        </w:numPr>
      </w:pPr>
      <w:r>
        <w:t>Refine</w:t>
      </w:r>
      <w:r w:rsidR="005421F0">
        <w:t xml:space="preserve"> curricular options (i.e., degrees and certificates) and remove perceived barriers to help </w:t>
      </w:r>
      <w:r w:rsidR="005421F0" w:rsidRPr="00956DAD">
        <w:t xml:space="preserve">students </w:t>
      </w:r>
      <w:r w:rsidR="00E9121C" w:rsidRPr="00956DAD">
        <w:t xml:space="preserve">successfully navigate their academic program and </w:t>
      </w:r>
      <w:r w:rsidR="005421F0" w:rsidRPr="00956DAD">
        <w:t>connect</w:t>
      </w:r>
      <w:r w:rsidR="004B6A86" w:rsidRPr="00956DAD">
        <w:t xml:space="preserve"> it</w:t>
      </w:r>
      <w:r w:rsidR="005421F0" w:rsidRPr="00956DAD">
        <w:t xml:space="preserve"> with </w:t>
      </w:r>
      <w:r w:rsidR="005421F0">
        <w:t>workforce, market, or graduate/professional school demands.</w:t>
      </w:r>
    </w:p>
    <w:p w14:paraId="762DF713" w14:textId="77777777" w:rsidR="005307D1" w:rsidRDefault="005307D1" w:rsidP="005307D1">
      <w:pPr>
        <w:pStyle w:val="NoSpacing"/>
      </w:pPr>
    </w:p>
    <w:p w14:paraId="2FA46C6B" w14:textId="77777777" w:rsidR="001202D7" w:rsidRDefault="001202D7">
      <w:pPr>
        <w:rPr>
          <w:rFonts w:asciiTheme="majorHAnsi" w:eastAsiaTheme="majorEastAsia" w:hAnsiTheme="majorHAnsi" w:cstheme="majorBidi"/>
          <w:color w:val="2F5496" w:themeColor="accent1" w:themeShade="BF"/>
          <w:sz w:val="32"/>
          <w:szCs w:val="32"/>
        </w:rPr>
      </w:pPr>
      <w:r>
        <w:br w:type="page"/>
      </w:r>
    </w:p>
    <w:p w14:paraId="329A1A8B" w14:textId="20A9DD88" w:rsidR="00C23094" w:rsidRDefault="00C23094" w:rsidP="001B2932">
      <w:pPr>
        <w:pStyle w:val="Heading1"/>
      </w:pPr>
      <w:r>
        <w:lastRenderedPageBreak/>
        <w:t>4. Financial Preparedness</w:t>
      </w:r>
    </w:p>
    <w:p w14:paraId="5CF9079B" w14:textId="16CB286F" w:rsidR="00C23094" w:rsidRDefault="00C23094" w:rsidP="00C23094">
      <w:pPr>
        <w:pStyle w:val="NormalWeb"/>
        <w:spacing w:before="0" w:beforeAutospacing="0" w:after="0" w:afterAutospacing="0" w:line="252" w:lineRule="auto"/>
        <w:rPr>
          <w:rFonts w:asciiTheme="minorHAnsi" w:hAnsiTheme="minorHAnsi" w:cstheme="minorHAnsi"/>
          <w:color w:val="000000" w:themeColor="text1"/>
          <w:sz w:val="22"/>
          <w:szCs w:val="22"/>
        </w:rPr>
      </w:pPr>
      <w:bookmarkStart w:id="0" w:name="_Hlk26362690"/>
      <w:r w:rsidRPr="00003257">
        <w:rPr>
          <w:rFonts w:asciiTheme="minorHAnsi" w:hAnsiTheme="minorHAnsi" w:cstheme="minorHAnsi"/>
          <w:color w:val="000000" w:themeColor="text1"/>
          <w:sz w:val="22"/>
          <w:szCs w:val="22"/>
        </w:rPr>
        <w:t xml:space="preserve">By 2026, decrease the average loan debt of undergraduate degree recipients by 5% after inflation.  </w:t>
      </w:r>
    </w:p>
    <w:p w14:paraId="0ADAD69C" w14:textId="0867DF90" w:rsidR="005307D1" w:rsidRDefault="005307D1" w:rsidP="00C23094">
      <w:pPr>
        <w:pStyle w:val="NormalWeb"/>
        <w:spacing w:before="0" w:beforeAutospacing="0" w:after="0" w:afterAutospacing="0" w:line="252" w:lineRule="auto"/>
        <w:rPr>
          <w:rFonts w:asciiTheme="minorHAnsi" w:hAnsiTheme="minorHAnsi" w:cstheme="minorHAnsi"/>
          <w:color w:val="000000" w:themeColor="text1"/>
          <w:sz w:val="22"/>
          <w:szCs w:val="22"/>
        </w:rPr>
      </w:pPr>
    </w:p>
    <w:p w14:paraId="078D5429" w14:textId="77777777" w:rsidR="005421F0" w:rsidRDefault="005421F0" w:rsidP="005421F0">
      <w:pPr>
        <w:pStyle w:val="Heading2"/>
      </w:pPr>
      <w:r>
        <w:t>Strategies</w:t>
      </w:r>
    </w:p>
    <w:p w14:paraId="41A921FD" w14:textId="6A089B8D" w:rsidR="00F950CB" w:rsidRDefault="00861C1D" w:rsidP="00F950CB">
      <w:pPr>
        <w:pStyle w:val="NoSpacing"/>
        <w:numPr>
          <w:ilvl w:val="0"/>
          <w:numId w:val="4"/>
        </w:numPr>
      </w:pPr>
      <w:r>
        <w:t>Proactively</w:t>
      </w:r>
      <w:r w:rsidR="009874AE" w:rsidRPr="009874AE">
        <w:t xml:space="preserve"> implement targeted interventions and realignments of institutional resources that help prevent attrition and decrease student loan debt.</w:t>
      </w:r>
    </w:p>
    <w:p w14:paraId="1089BA02" w14:textId="34D921A6" w:rsidR="00F950CB" w:rsidRDefault="00F950CB" w:rsidP="00F950CB">
      <w:pPr>
        <w:pStyle w:val="NoSpacing"/>
        <w:numPr>
          <w:ilvl w:val="0"/>
          <w:numId w:val="4"/>
        </w:numPr>
      </w:pPr>
      <w:r>
        <w:t xml:space="preserve">Develop and deploy a financial preparedness education program for students and family members that begins with the financial aid award letter and continues through graduation.  </w:t>
      </w:r>
    </w:p>
    <w:p w14:paraId="3539403E" w14:textId="39865A6A" w:rsidR="00C53A48" w:rsidRDefault="00F950CB" w:rsidP="00F950CB">
      <w:pPr>
        <w:pStyle w:val="NoSpacing"/>
        <w:numPr>
          <w:ilvl w:val="0"/>
          <w:numId w:val="4"/>
        </w:numPr>
      </w:pPr>
      <w:r>
        <w:t xml:space="preserve">Identify and implement advising practices that </w:t>
      </w:r>
      <w:r w:rsidR="00C020EB">
        <w:t xml:space="preserve">improve </w:t>
      </w:r>
      <w:r w:rsidR="00ED218F">
        <w:t xml:space="preserve">enrollment </w:t>
      </w:r>
      <w:r w:rsidR="008E60A1">
        <w:t>effici</w:t>
      </w:r>
      <w:r w:rsidR="007E0346">
        <w:t>ency</w:t>
      </w:r>
      <w:r w:rsidR="00856965">
        <w:t xml:space="preserve"> and therefore </w:t>
      </w:r>
      <w:r>
        <w:t xml:space="preserve">contribute to </w:t>
      </w:r>
      <w:r w:rsidR="0001307D">
        <w:t>lowering</w:t>
      </w:r>
      <w:r>
        <w:t xml:space="preserve"> student debt.</w:t>
      </w:r>
      <w:bookmarkEnd w:id="0"/>
    </w:p>
    <w:p w14:paraId="6AF292E0" w14:textId="77777777" w:rsidR="005421F0" w:rsidRPr="00003257" w:rsidRDefault="005421F0" w:rsidP="64859516">
      <w:pPr>
        <w:pStyle w:val="NormalWeb"/>
        <w:spacing w:before="0" w:beforeAutospacing="0" w:after="0" w:afterAutospacing="0" w:line="252" w:lineRule="auto"/>
        <w:rPr>
          <w:rFonts w:asciiTheme="minorHAnsi" w:hAnsiTheme="minorHAnsi" w:cstheme="minorBidi"/>
          <w:color w:val="FF0000"/>
          <w:sz w:val="22"/>
          <w:szCs w:val="22"/>
        </w:rPr>
      </w:pPr>
    </w:p>
    <w:sectPr w:rsidR="005421F0" w:rsidRPr="00003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82B2A"/>
    <w:multiLevelType w:val="hybridMultilevel"/>
    <w:tmpl w:val="457E6880"/>
    <w:lvl w:ilvl="0" w:tplc="59627C4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C382E"/>
    <w:multiLevelType w:val="hybridMultilevel"/>
    <w:tmpl w:val="D89C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15F13"/>
    <w:multiLevelType w:val="hybridMultilevel"/>
    <w:tmpl w:val="5356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02604"/>
    <w:multiLevelType w:val="hybridMultilevel"/>
    <w:tmpl w:val="1DB0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1370B"/>
    <w:multiLevelType w:val="hybridMultilevel"/>
    <w:tmpl w:val="D742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25EBD"/>
    <w:multiLevelType w:val="hybridMultilevel"/>
    <w:tmpl w:val="9F4E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732533"/>
    <w:multiLevelType w:val="hybridMultilevel"/>
    <w:tmpl w:val="B79A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E549A"/>
    <w:multiLevelType w:val="hybridMultilevel"/>
    <w:tmpl w:val="9C82A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94"/>
    <w:rsid w:val="0000414E"/>
    <w:rsid w:val="0001307D"/>
    <w:rsid w:val="0002435C"/>
    <w:rsid w:val="000360E9"/>
    <w:rsid w:val="000A1B22"/>
    <w:rsid w:val="000D50CD"/>
    <w:rsid w:val="000D6E01"/>
    <w:rsid w:val="00106778"/>
    <w:rsid w:val="00116A73"/>
    <w:rsid w:val="001202D7"/>
    <w:rsid w:val="00120A06"/>
    <w:rsid w:val="00140758"/>
    <w:rsid w:val="00161E9B"/>
    <w:rsid w:val="00164615"/>
    <w:rsid w:val="001B0D6E"/>
    <w:rsid w:val="001B2932"/>
    <w:rsid w:val="001D36D5"/>
    <w:rsid w:val="001D4421"/>
    <w:rsid w:val="001F31E1"/>
    <w:rsid w:val="002419BC"/>
    <w:rsid w:val="00267BB1"/>
    <w:rsid w:val="00273414"/>
    <w:rsid w:val="002B4B20"/>
    <w:rsid w:val="002B69D7"/>
    <w:rsid w:val="002C1F9A"/>
    <w:rsid w:val="002C6625"/>
    <w:rsid w:val="002F5FF9"/>
    <w:rsid w:val="00315861"/>
    <w:rsid w:val="003675D8"/>
    <w:rsid w:val="003B2D22"/>
    <w:rsid w:val="003C7A31"/>
    <w:rsid w:val="003D1215"/>
    <w:rsid w:val="003E06EF"/>
    <w:rsid w:val="004537D9"/>
    <w:rsid w:val="00484EAC"/>
    <w:rsid w:val="004B6A86"/>
    <w:rsid w:val="004C1131"/>
    <w:rsid w:val="00505DEC"/>
    <w:rsid w:val="005155C3"/>
    <w:rsid w:val="00527923"/>
    <w:rsid w:val="005307D1"/>
    <w:rsid w:val="005421F0"/>
    <w:rsid w:val="005457D5"/>
    <w:rsid w:val="00573F35"/>
    <w:rsid w:val="00592D42"/>
    <w:rsid w:val="005C2F21"/>
    <w:rsid w:val="005F15AB"/>
    <w:rsid w:val="00636F92"/>
    <w:rsid w:val="00644289"/>
    <w:rsid w:val="00683DE1"/>
    <w:rsid w:val="006A6721"/>
    <w:rsid w:val="006F0960"/>
    <w:rsid w:val="007469D4"/>
    <w:rsid w:val="00753F13"/>
    <w:rsid w:val="00761288"/>
    <w:rsid w:val="007852B7"/>
    <w:rsid w:val="007E0346"/>
    <w:rsid w:val="008110BE"/>
    <w:rsid w:val="00856965"/>
    <w:rsid w:val="008576B9"/>
    <w:rsid w:val="00861C1D"/>
    <w:rsid w:val="00887D3A"/>
    <w:rsid w:val="008C44F5"/>
    <w:rsid w:val="008D6930"/>
    <w:rsid w:val="008E5838"/>
    <w:rsid w:val="008E60A1"/>
    <w:rsid w:val="00926279"/>
    <w:rsid w:val="00954E93"/>
    <w:rsid w:val="00956DAD"/>
    <w:rsid w:val="00987436"/>
    <w:rsid w:val="009874AE"/>
    <w:rsid w:val="009927AF"/>
    <w:rsid w:val="009B4C81"/>
    <w:rsid w:val="009E207D"/>
    <w:rsid w:val="009F440C"/>
    <w:rsid w:val="00A0652A"/>
    <w:rsid w:val="00A14F3A"/>
    <w:rsid w:val="00A16EB1"/>
    <w:rsid w:val="00A24067"/>
    <w:rsid w:val="00A5758A"/>
    <w:rsid w:val="00A611C2"/>
    <w:rsid w:val="00A667F4"/>
    <w:rsid w:val="00A70562"/>
    <w:rsid w:val="00A7073E"/>
    <w:rsid w:val="00A72EC2"/>
    <w:rsid w:val="00A76FB2"/>
    <w:rsid w:val="00AB2233"/>
    <w:rsid w:val="00AD6E3A"/>
    <w:rsid w:val="00AF3BB9"/>
    <w:rsid w:val="00B22B99"/>
    <w:rsid w:val="00B5074A"/>
    <w:rsid w:val="00B630A4"/>
    <w:rsid w:val="00B70774"/>
    <w:rsid w:val="00B73A1B"/>
    <w:rsid w:val="00BB3A8A"/>
    <w:rsid w:val="00BD4C78"/>
    <w:rsid w:val="00BE65E4"/>
    <w:rsid w:val="00BF09FC"/>
    <w:rsid w:val="00C00F20"/>
    <w:rsid w:val="00C020EB"/>
    <w:rsid w:val="00C17922"/>
    <w:rsid w:val="00C23094"/>
    <w:rsid w:val="00C25320"/>
    <w:rsid w:val="00C53A48"/>
    <w:rsid w:val="00C748FE"/>
    <w:rsid w:val="00D2427F"/>
    <w:rsid w:val="00D42838"/>
    <w:rsid w:val="00D505CE"/>
    <w:rsid w:val="00D54D2F"/>
    <w:rsid w:val="00D60BC2"/>
    <w:rsid w:val="00E214DD"/>
    <w:rsid w:val="00E22A3C"/>
    <w:rsid w:val="00E24734"/>
    <w:rsid w:val="00E3239B"/>
    <w:rsid w:val="00E41103"/>
    <w:rsid w:val="00E82B5D"/>
    <w:rsid w:val="00E86E6D"/>
    <w:rsid w:val="00E9121C"/>
    <w:rsid w:val="00ED1570"/>
    <w:rsid w:val="00ED218F"/>
    <w:rsid w:val="00EE6602"/>
    <w:rsid w:val="00F06968"/>
    <w:rsid w:val="00F61FCA"/>
    <w:rsid w:val="00F7744A"/>
    <w:rsid w:val="00F950CB"/>
    <w:rsid w:val="00FE1576"/>
    <w:rsid w:val="19AAB309"/>
    <w:rsid w:val="2375897A"/>
    <w:rsid w:val="276D981F"/>
    <w:rsid w:val="293AFE56"/>
    <w:rsid w:val="31C992C0"/>
    <w:rsid w:val="3DD8133A"/>
    <w:rsid w:val="64859516"/>
    <w:rsid w:val="73FF9CFE"/>
    <w:rsid w:val="7E301B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92EE"/>
  <w15:chartTrackingRefBased/>
  <w15:docId w15:val="{641C6AD6-FAE1-4236-A260-3D88ED6B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0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3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30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094"/>
    <w:pPr>
      <w:spacing w:after="0" w:line="240" w:lineRule="auto"/>
    </w:pPr>
  </w:style>
  <w:style w:type="character" w:customStyle="1" w:styleId="Heading2Char">
    <w:name w:val="Heading 2 Char"/>
    <w:basedOn w:val="DefaultParagraphFont"/>
    <w:link w:val="Heading2"/>
    <w:uiPriority w:val="9"/>
    <w:rsid w:val="00C230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309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C23094"/>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E247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7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473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D5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5CE"/>
    <w:rPr>
      <w:rFonts w:ascii="Segoe UI" w:hAnsi="Segoe UI" w:cs="Segoe UI"/>
      <w:sz w:val="18"/>
      <w:szCs w:val="18"/>
    </w:rPr>
  </w:style>
  <w:style w:type="character" w:customStyle="1" w:styleId="Heading1Char">
    <w:name w:val="Heading 1 Char"/>
    <w:basedOn w:val="DefaultParagraphFont"/>
    <w:link w:val="Heading1"/>
    <w:uiPriority w:val="9"/>
    <w:rsid w:val="00F950C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3BB9"/>
    <w:rPr>
      <w:color w:val="0563C1" w:themeColor="hyperlink"/>
      <w:u w:val="single"/>
    </w:rPr>
  </w:style>
  <w:style w:type="character" w:styleId="UnresolvedMention">
    <w:name w:val="Unresolved Mention"/>
    <w:basedOn w:val="DefaultParagraphFont"/>
    <w:uiPriority w:val="99"/>
    <w:semiHidden/>
    <w:unhideWhenUsed/>
    <w:rsid w:val="00AF3BB9"/>
    <w:rPr>
      <w:color w:val="605E5C"/>
      <w:shd w:val="clear" w:color="auto" w:fill="E1DFDD"/>
    </w:rPr>
  </w:style>
  <w:style w:type="paragraph" w:styleId="ListParagraph">
    <w:name w:val="List Paragraph"/>
    <w:basedOn w:val="Normal"/>
    <w:uiPriority w:val="34"/>
    <w:qFormat/>
    <w:rsid w:val="00C748FE"/>
    <w:pPr>
      <w:spacing w:after="0" w:line="240" w:lineRule="auto"/>
      <w:ind w:left="7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12914">
      <w:bodyDiv w:val="1"/>
      <w:marLeft w:val="0"/>
      <w:marRight w:val="0"/>
      <w:marTop w:val="0"/>
      <w:marBottom w:val="0"/>
      <w:divBdr>
        <w:top w:val="none" w:sz="0" w:space="0" w:color="auto"/>
        <w:left w:val="none" w:sz="0" w:space="0" w:color="auto"/>
        <w:bottom w:val="none" w:sz="0" w:space="0" w:color="auto"/>
        <w:right w:val="none" w:sz="0" w:space="0" w:color="auto"/>
      </w:divBdr>
    </w:div>
    <w:div w:id="20534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Hornberger</dc:creator>
  <cp:keywords/>
  <dc:description/>
  <cp:lastModifiedBy>Rob Hornberger</cp:lastModifiedBy>
  <cp:revision>3</cp:revision>
  <dcterms:created xsi:type="dcterms:W3CDTF">2020-12-15T21:05:00Z</dcterms:created>
  <dcterms:modified xsi:type="dcterms:W3CDTF">2020-12-15T21:06:00Z</dcterms:modified>
</cp:coreProperties>
</file>