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A228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00DE1BCC" wp14:editId="63DD0AC5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105CA93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76392E8F" w14:textId="31BF203A" w:rsidR="00FC7DFC" w:rsidRDefault="004C524E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Three Rivers College</w:t>
      </w:r>
    </w:p>
    <w:p w14:paraId="0ABC16E5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27AD4397" w14:textId="77777777" w:rsidTr="00AE676E">
        <w:tc>
          <w:tcPr>
            <w:tcW w:w="9720" w:type="dxa"/>
            <w:shd w:val="pct20" w:color="auto" w:fill="auto"/>
          </w:tcPr>
          <w:p w14:paraId="6CC6F4E1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1E5E2327" w14:textId="77777777" w:rsidTr="00AE676E">
        <w:trPr>
          <w:trHeight w:val="6020"/>
        </w:trPr>
        <w:tc>
          <w:tcPr>
            <w:tcW w:w="9720" w:type="dxa"/>
          </w:tcPr>
          <w:p w14:paraId="3D06C86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FE18AEE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42FB5F" w14:textId="77777777" w:rsidR="00AE676E" w:rsidRPr="00A425D4" w:rsidRDefault="004C524E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TRCC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CB25130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74DEF5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A9BCD43" w14:textId="55528A2B" w:rsidR="00AE676E" w:rsidRDefault="00214B7D" w:rsidP="00B02325">
                  <w:pPr>
                    <w:jc w:val="center"/>
                  </w:pPr>
                  <w:r>
                    <w:t>*ACC</w:t>
                  </w:r>
                  <w:r w:rsidR="004C524E">
                    <w:t>T 211</w:t>
                  </w:r>
                </w:p>
              </w:tc>
              <w:tc>
                <w:tcPr>
                  <w:tcW w:w="4396" w:type="dxa"/>
                </w:tcPr>
                <w:p w14:paraId="061E6679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1944350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3E3F66E" w14:textId="51177686" w:rsidR="00AE676E" w:rsidRDefault="004C2ABB" w:rsidP="00B02325">
                  <w:pPr>
                    <w:jc w:val="center"/>
                  </w:pPr>
                  <w:r>
                    <w:t>*</w:t>
                  </w:r>
                  <w:r w:rsidR="004C524E">
                    <w:t>ACCT 212</w:t>
                  </w:r>
                </w:p>
              </w:tc>
              <w:tc>
                <w:tcPr>
                  <w:tcW w:w="4396" w:type="dxa"/>
                </w:tcPr>
                <w:p w14:paraId="3B71D6A4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9C6C6A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8B268FD" w14:textId="0CB85502" w:rsidR="00A448F1" w:rsidRDefault="00EB5DB1" w:rsidP="00214B7D">
                  <w:pPr>
                    <w:jc w:val="center"/>
                  </w:pPr>
                  <w:r>
                    <w:t>*SCOM 110</w:t>
                  </w:r>
                </w:p>
              </w:tc>
              <w:tc>
                <w:tcPr>
                  <w:tcW w:w="4396" w:type="dxa"/>
                </w:tcPr>
                <w:p w14:paraId="1F7294E5" w14:textId="0A3D7D65" w:rsidR="00A448F1" w:rsidRDefault="00EB5DB1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63B9497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9BF7D49" w14:textId="5CD84A84" w:rsidR="003C26C4" w:rsidRDefault="00FE116A" w:rsidP="00B02325">
                  <w:pPr>
                    <w:jc w:val="center"/>
                  </w:pPr>
                  <w:r>
                    <w:t>*ECON 211</w:t>
                  </w:r>
                </w:p>
              </w:tc>
              <w:tc>
                <w:tcPr>
                  <w:tcW w:w="4396" w:type="dxa"/>
                </w:tcPr>
                <w:p w14:paraId="32362F17" w14:textId="0B75459E" w:rsidR="003C26C4" w:rsidRDefault="00FE116A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2CEE4CC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6443857" w14:textId="70E32EF6" w:rsidR="003C26C4" w:rsidRDefault="008B3945" w:rsidP="00214B7D">
                  <w:pPr>
                    <w:jc w:val="center"/>
                  </w:pPr>
                  <w:r>
                    <w:t>*ECON 212</w:t>
                  </w:r>
                </w:p>
              </w:tc>
              <w:tc>
                <w:tcPr>
                  <w:tcW w:w="4396" w:type="dxa"/>
                </w:tcPr>
                <w:p w14:paraId="123240D8" w14:textId="44BF1766" w:rsidR="003C26C4" w:rsidRDefault="008B3945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3C26C4" w14:paraId="65BE475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042B82" w14:textId="1292B0C5" w:rsidR="003C26C4" w:rsidRDefault="00117CEF" w:rsidP="00214B7D">
                  <w:pPr>
                    <w:jc w:val="center"/>
                  </w:pPr>
                  <w:r>
                    <w:t>*ENGL 111</w:t>
                  </w:r>
                </w:p>
              </w:tc>
              <w:tc>
                <w:tcPr>
                  <w:tcW w:w="4396" w:type="dxa"/>
                </w:tcPr>
                <w:p w14:paraId="3406036D" w14:textId="201511D5" w:rsidR="003C26C4" w:rsidRDefault="00117CEF" w:rsidP="00214B7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3C26C4" w14:paraId="6FCFDE3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FC386CF" w14:textId="419EF9C3" w:rsidR="003C26C4" w:rsidRDefault="00A94306" w:rsidP="003C26C4">
                  <w:pPr>
                    <w:jc w:val="center"/>
                  </w:pPr>
                  <w:r>
                    <w:t>*BUED 203</w:t>
                  </w:r>
                </w:p>
              </w:tc>
              <w:tc>
                <w:tcPr>
                  <w:tcW w:w="4396" w:type="dxa"/>
                </w:tcPr>
                <w:p w14:paraId="1B178180" w14:textId="70C480D4" w:rsidR="003C26C4" w:rsidRDefault="00A94306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3C26C4" w14:paraId="51CECAE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8CF891" w14:textId="4427742B" w:rsidR="003C26C4" w:rsidRDefault="004A257D" w:rsidP="003C26C4">
                  <w:pPr>
                    <w:jc w:val="center"/>
                  </w:pPr>
                  <w:r>
                    <w:t>*MATH 163</w:t>
                  </w:r>
                </w:p>
              </w:tc>
              <w:tc>
                <w:tcPr>
                  <w:tcW w:w="4396" w:type="dxa"/>
                </w:tcPr>
                <w:p w14:paraId="7F288DA4" w14:textId="29DB019C" w:rsidR="003C26C4" w:rsidRDefault="004A257D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206B6B" w14:paraId="32247A3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54B09B7" w14:textId="1888C2A6" w:rsidR="00206B6B" w:rsidRDefault="00B64533" w:rsidP="00206B6B">
                  <w:pPr>
                    <w:jc w:val="center"/>
                  </w:pPr>
                  <w:r>
                    <w:t>*PSYC 111</w:t>
                  </w:r>
                </w:p>
              </w:tc>
              <w:tc>
                <w:tcPr>
                  <w:tcW w:w="4396" w:type="dxa"/>
                </w:tcPr>
                <w:p w14:paraId="2AC06662" w14:textId="071CCA4D" w:rsidR="00206B6B" w:rsidRDefault="00B64533" w:rsidP="00206B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206B6B" w14:paraId="7F1549B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718E29" w14:textId="1658C0B9" w:rsidR="00206B6B" w:rsidRDefault="00932936" w:rsidP="00206B6B">
                  <w:pPr>
                    <w:jc w:val="center"/>
                  </w:pPr>
                  <w:r>
                    <w:t>*BUAD 230</w:t>
                  </w:r>
                </w:p>
              </w:tc>
              <w:tc>
                <w:tcPr>
                  <w:tcW w:w="4396" w:type="dxa"/>
                </w:tcPr>
                <w:p w14:paraId="6B67903C" w14:textId="2EE05532" w:rsidR="00206B6B" w:rsidRDefault="00932936" w:rsidP="00206B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206B6B" w14:paraId="611999C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EBA4F31" w14:textId="402CF9B6" w:rsidR="00206B6B" w:rsidRDefault="00965E63" w:rsidP="00206B6B">
                  <w:pPr>
                    <w:jc w:val="center"/>
                  </w:pPr>
                  <w:r>
                    <w:t>*BLAW 221</w:t>
                  </w:r>
                </w:p>
              </w:tc>
              <w:tc>
                <w:tcPr>
                  <w:tcW w:w="4396" w:type="dxa"/>
                </w:tcPr>
                <w:p w14:paraId="7C7CF6EB" w14:textId="1C32F3DF" w:rsidR="00206B6B" w:rsidRDefault="00965E63" w:rsidP="00206B6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206B6B" w14:paraId="0BA8F4B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2CF2E9" w14:textId="4B816AED" w:rsidR="00206B6B" w:rsidRDefault="00CC5C30" w:rsidP="00206B6B">
                  <w:pPr>
                    <w:jc w:val="center"/>
                  </w:pPr>
                  <w:r>
                    <w:t>IST 268</w:t>
                  </w:r>
                </w:p>
              </w:tc>
              <w:tc>
                <w:tcPr>
                  <w:tcW w:w="4396" w:type="dxa"/>
                </w:tcPr>
                <w:p w14:paraId="0D6F8E0B" w14:textId="46883509" w:rsidR="00206B6B" w:rsidRDefault="00CC5C30" w:rsidP="00206B6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4C524E" w14:paraId="12C055E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137432E" w14:textId="77777777" w:rsidR="004C524E" w:rsidRDefault="004C524E" w:rsidP="003C26C4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70193983" w14:textId="77777777" w:rsidR="004C524E" w:rsidRDefault="004C524E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48F2C82E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7ABFD0B" w14:textId="77777777" w:rsidR="00B81340" w:rsidRPr="00B81340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B8134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Choose one:</w:t>
                  </w:r>
                </w:p>
                <w:p w14:paraId="1C177A72" w14:textId="6E87FD63" w:rsidR="00B81340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B81340">
                    <w:rPr>
                      <w:rFonts w:asciiTheme="minorHAnsi" w:hAnsiTheme="minorHAnsi"/>
                      <w:sz w:val="20"/>
                      <w:szCs w:val="20"/>
                    </w:rPr>
                    <w:t>SPAN 101, 102, 201</w:t>
                  </w:r>
                  <w:r w:rsidR="002D353E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81340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</w:p>
                <w:p w14:paraId="475739AD" w14:textId="1B0B5BE1" w:rsidR="007D3FB6" w:rsidRPr="00F27319" w:rsidRDefault="004C524E" w:rsidP="00F27319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</w:t>
                  </w:r>
                  <w:r w:rsidR="00B02325">
                    <w:rPr>
                      <w:rFonts w:asciiTheme="minorHAnsi" w:hAnsiTheme="minorHAnsi"/>
                      <w:sz w:val="20"/>
                      <w:szCs w:val="20"/>
                    </w:rPr>
                    <w:t>L</w:t>
                  </w:r>
                  <w:r w:rsidR="00B81340">
                    <w:rPr>
                      <w:rFonts w:asciiTheme="minorHAnsi" w:hAnsiTheme="minorHAnsi"/>
                      <w:sz w:val="20"/>
                      <w:szCs w:val="20"/>
                    </w:rPr>
                    <w:t xml:space="preserve"> 232</w:t>
                  </w:r>
                </w:p>
                <w:p w14:paraId="0085EB37" w14:textId="77777777" w:rsidR="00B81340" w:rsidRDefault="00B81340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GOVT 233</w:t>
                  </w:r>
                  <w:r w:rsidR="004C524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C9D5388" w14:textId="5759E51C" w:rsidR="00B81340" w:rsidRDefault="00B81340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MUSC 221</w:t>
                  </w:r>
                </w:p>
                <w:p w14:paraId="2A9A44E0" w14:textId="77777777" w:rsidR="00B81340" w:rsidRDefault="00B81340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PHIL 243</w:t>
                  </w:r>
                  <w:r w:rsidR="004C524E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B511AC1" w14:textId="77777777" w:rsidR="003C26C4" w:rsidRPr="00E345E7" w:rsidRDefault="004C524E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SOCI 111</w:t>
                  </w:r>
                </w:p>
                <w:p w14:paraId="717C4A58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483D0DAD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69427B7D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6885BDA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8389430" w14:textId="77777777" w:rsidR="00B81340" w:rsidRDefault="00B81340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D99AEAF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BCF40B9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24F677C9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774D70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27E272FE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56241AE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4C524E">
        <w:rPr>
          <w:rFonts w:asciiTheme="minorHAnsi" w:hAnsiTheme="minorHAnsi"/>
          <w:sz w:val="22"/>
          <w:szCs w:val="22"/>
        </w:rPr>
        <w:t>TRCC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4C524E">
        <w:rPr>
          <w:rFonts w:asciiTheme="minorHAnsi" w:hAnsiTheme="minorHAnsi"/>
          <w:sz w:val="22"/>
          <w:szCs w:val="22"/>
        </w:rPr>
        <w:t>TRCC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4C524E">
        <w:rPr>
          <w:rFonts w:asciiTheme="minorHAnsi" w:hAnsiTheme="minorHAnsi"/>
          <w:sz w:val="22"/>
          <w:szCs w:val="22"/>
        </w:rPr>
        <w:t>TRCC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157E8E06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331B3F8B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37617649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103B09A" w14:textId="1EF3B7FE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4C524E">
        <w:rPr>
          <w:rFonts w:cs="Arial"/>
        </w:rPr>
        <w:t>TRCC</w:t>
      </w:r>
      <w:r w:rsidR="004C2ABB">
        <w:rPr>
          <w:rFonts w:cs="Arial"/>
        </w:rPr>
        <w:t>’s</w:t>
      </w:r>
      <w:r w:rsidR="00E075AE">
        <w:rPr>
          <w:rFonts w:cs="Arial"/>
        </w:rPr>
        <w:t xml:space="preserve"> </w:t>
      </w:r>
      <w:r w:rsidR="004C524E">
        <w:rPr>
          <w:rFonts w:cs="Arial"/>
        </w:rPr>
        <w:t>MATH 163</w:t>
      </w:r>
      <w:r w:rsidR="00F0228C" w:rsidRPr="00D22E65">
        <w:rPr>
          <w:rFonts w:cs="Arial"/>
        </w:rPr>
        <w:t xml:space="preserve"> if ACC 201 </w:t>
      </w:r>
      <w:r w:rsidR="00116A7C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759AD4DD" w14:textId="1F20B12F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16A7C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16A7C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116A7C">
        <w:t>.</w:t>
      </w:r>
      <w:r w:rsidRPr="00D22E65">
        <w:t xml:space="preserve"> </w:t>
      </w:r>
    </w:p>
    <w:p w14:paraId="4FE52915" w14:textId="3430E1BB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2565DBC7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4FAD3044" w14:textId="77777777" w:rsidR="0095360F" w:rsidRPr="0095360F" w:rsidRDefault="0095360F" w:rsidP="0095360F">
      <w:pPr>
        <w:rPr>
          <w:rFonts w:cs="Arial"/>
          <w:color w:val="000000"/>
        </w:rPr>
      </w:pPr>
    </w:p>
    <w:p w14:paraId="42218BC7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8A4EE08" w14:textId="77777777" w:rsidR="00FC5F54" w:rsidRDefault="00FC5F5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61814A0" w14:textId="77777777" w:rsidR="00FC5F54" w:rsidRDefault="00FC5F5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C514287" w14:textId="77777777" w:rsidR="00FC5F54" w:rsidRDefault="00FC5F5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C7DDCFA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E71871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EBE9757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25053F2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04BA16E" w14:textId="77777777" w:rsidR="00585A9E" w:rsidRDefault="00585A9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BFC1A6D" w14:textId="7EB13BAF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318E85DD" w14:textId="3A7ADE85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3B246F4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958C60D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DB2982B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7849358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4157C20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17479358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2FEC67E5" w14:textId="0E3E808D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FD6496">
        <w:rPr>
          <w:rFonts w:asciiTheme="minorHAnsi" w:hAnsiTheme="minorHAnsi"/>
          <w:sz w:val="22"/>
          <w:szCs w:val="22"/>
        </w:rPr>
        <w:t>5517</w:t>
      </w:r>
    </w:p>
    <w:p w14:paraId="1B5A7643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7877B969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2410DF84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65B93DC" w14:textId="618B2C55" w:rsidR="00DF7256" w:rsidRPr="00824EB3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824EB3">
        <w:rPr>
          <w:rFonts w:asciiTheme="minorHAnsi" w:hAnsiTheme="minorHAnsi"/>
          <w:b/>
        </w:rPr>
        <w:t xml:space="preserve">COB </w:t>
      </w:r>
      <w:r w:rsidR="00F7132B" w:rsidRPr="00824EB3">
        <w:rPr>
          <w:rFonts w:asciiTheme="minorHAnsi" w:hAnsiTheme="minorHAnsi"/>
          <w:b/>
        </w:rPr>
        <w:t>T</w:t>
      </w:r>
      <w:r w:rsidRPr="00824EB3">
        <w:rPr>
          <w:rFonts w:asciiTheme="minorHAnsi" w:hAnsiTheme="minorHAnsi"/>
          <w:b/>
        </w:rPr>
        <w:t xml:space="preserve">ransfer </w:t>
      </w:r>
      <w:r w:rsidR="00F7132B" w:rsidRPr="00824EB3">
        <w:rPr>
          <w:rFonts w:asciiTheme="minorHAnsi" w:hAnsiTheme="minorHAnsi"/>
          <w:b/>
        </w:rPr>
        <w:t>A</w:t>
      </w:r>
      <w:r w:rsidRPr="00824EB3">
        <w:rPr>
          <w:rFonts w:asciiTheme="minorHAnsi" w:hAnsiTheme="minorHAnsi"/>
          <w:b/>
        </w:rPr>
        <w:t>dvisor</w:t>
      </w:r>
    </w:p>
    <w:p w14:paraId="333093D8" w14:textId="1EEF7089" w:rsidR="00F7132B" w:rsidRPr="00824EB3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F7132B" w:rsidRPr="00824EB3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76B6FCF1" w14:textId="77777777" w:rsidR="00F7132B" w:rsidRPr="00824EB3" w:rsidRDefault="00F7132B" w:rsidP="00DF7256">
      <w:pPr>
        <w:pStyle w:val="Default"/>
        <w:jc w:val="center"/>
        <w:rPr>
          <w:rFonts w:asciiTheme="minorHAnsi" w:hAnsiTheme="minorHAnsi"/>
          <w:b/>
        </w:rPr>
      </w:pPr>
    </w:p>
    <w:p w14:paraId="6CA83DD0" w14:textId="77777777" w:rsidR="00DF7256" w:rsidRPr="00824EB3" w:rsidRDefault="00DF7256" w:rsidP="00DF7256">
      <w:pPr>
        <w:pStyle w:val="Default"/>
        <w:jc w:val="center"/>
        <w:rPr>
          <w:rFonts w:asciiTheme="minorHAnsi" w:hAnsiTheme="minorHAnsi"/>
        </w:rPr>
      </w:pPr>
      <w:r w:rsidRPr="00824EB3">
        <w:rPr>
          <w:rFonts w:asciiTheme="minorHAnsi" w:hAnsiTheme="minorHAnsi"/>
        </w:rPr>
        <w:t>Business Advisement Center</w:t>
      </w:r>
    </w:p>
    <w:p w14:paraId="0D5843E9" w14:textId="77777777" w:rsidR="00DF7256" w:rsidRPr="00824EB3" w:rsidRDefault="00DF7256" w:rsidP="00DF7256">
      <w:pPr>
        <w:pStyle w:val="Default"/>
        <w:jc w:val="center"/>
        <w:rPr>
          <w:rFonts w:asciiTheme="minorHAnsi" w:hAnsiTheme="minorHAnsi"/>
        </w:rPr>
      </w:pPr>
      <w:r w:rsidRPr="00824EB3">
        <w:rPr>
          <w:rFonts w:asciiTheme="minorHAnsi" w:hAnsiTheme="minorHAnsi"/>
        </w:rPr>
        <w:t>Glass Hall 276</w:t>
      </w:r>
    </w:p>
    <w:p w14:paraId="0E31F220" w14:textId="77777777" w:rsidR="00DF7256" w:rsidRPr="00824EB3" w:rsidRDefault="00DF7256" w:rsidP="00DF7256">
      <w:pPr>
        <w:pStyle w:val="Default"/>
        <w:jc w:val="center"/>
        <w:rPr>
          <w:rFonts w:asciiTheme="minorHAnsi" w:hAnsiTheme="minorHAnsi"/>
        </w:rPr>
      </w:pPr>
      <w:r w:rsidRPr="00824EB3">
        <w:rPr>
          <w:rFonts w:asciiTheme="minorHAnsi" w:hAnsiTheme="minorHAnsi"/>
        </w:rPr>
        <w:t>417-836-5386</w:t>
      </w:r>
    </w:p>
    <w:p w14:paraId="1F265997" w14:textId="77777777" w:rsidR="00DF7256" w:rsidRPr="00824EB3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824EB3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824EB3">
        <w:rPr>
          <w:rFonts w:asciiTheme="minorHAnsi" w:hAnsiTheme="minorHAnsi"/>
        </w:rPr>
        <w:t xml:space="preserve"> </w:t>
      </w:r>
    </w:p>
    <w:p w14:paraId="5BB63272" w14:textId="77777777" w:rsidR="00DF7256" w:rsidRPr="00824EB3" w:rsidRDefault="00DF7256" w:rsidP="00D77E84">
      <w:pPr>
        <w:pStyle w:val="Default"/>
        <w:jc w:val="center"/>
      </w:pPr>
    </w:p>
    <w:p w14:paraId="77BA2217" w14:textId="77777777" w:rsidR="00245233" w:rsidRPr="00824EB3" w:rsidRDefault="00245233" w:rsidP="00F0661D">
      <w:pPr>
        <w:pStyle w:val="Default"/>
      </w:pPr>
    </w:p>
    <w:p w14:paraId="3ABAD506" w14:textId="77777777" w:rsidR="00E345E7" w:rsidRDefault="00E345E7" w:rsidP="00245233">
      <w:pPr>
        <w:pStyle w:val="NoSpacing"/>
      </w:pPr>
    </w:p>
    <w:p w14:paraId="2C8B2D02" w14:textId="77777777" w:rsidR="00D77E84" w:rsidRDefault="00D77E84" w:rsidP="00D77E84">
      <w:pPr>
        <w:pStyle w:val="NoSpacing"/>
        <w:jc w:val="center"/>
      </w:pPr>
    </w:p>
    <w:p w14:paraId="724A79CB" w14:textId="77777777" w:rsidR="00D77E84" w:rsidRDefault="00D77E84" w:rsidP="00D77E84">
      <w:pPr>
        <w:pStyle w:val="NoSpacing"/>
        <w:jc w:val="center"/>
      </w:pPr>
    </w:p>
    <w:p w14:paraId="2E2F594F" w14:textId="77777777" w:rsidR="00D77E84" w:rsidRDefault="00D77E84" w:rsidP="00D77E84">
      <w:pPr>
        <w:pStyle w:val="NoSpacing"/>
        <w:jc w:val="center"/>
      </w:pPr>
    </w:p>
    <w:p w14:paraId="6981E937" w14:textId="77777777" w:rsidR="00D77E84" w:rsidRDefault="00D77E84" w:rsidP="00D77E84">
      <w:pPr>
        <w:pStyle w:val="NoSpacing"/>
        <w:jc w:val="center"/>
      </w:pPr>
    </w:p>
    <w:p w14:paraId="37DCC1B1" w14:textId="77777777" w:rsidR="00595CBE" w:rsidRDefault="00595CBE" w:rsidP="00D77E84">
      <w:pPr>
        <w:pStyle w:val="NoSpacing"/>
        <w:jc w:val="center"/>
      </w:pPr>
    </w:p>
    <w:p w14:paraId="2AFF6D8E" w14:textId="77777777" w:rsidR="00595CBE" w:rsidRDefault="00595CBE" w:rsidP="00D77E84">
      <w:pPr>
        <w:pStyle w:val="NoSpacing"/>
        <w:jc w:val="center"/>
      </w:pPr>
    </w:p>
    <w:p w14:paraId="241ABAA7" w14:textId="77777777" w:rsidR="00B81340" w:rsidRDefault="00B81340" w:rsidP="00D77E84">
      <w:pPr>
        <w:pStyle w:val="NoSpacing"/>
        <w:jc w:val="center"/>
      </w:pPr>
    </w:p>
    <w:p w14:paraId="307758E2" w14:textId="77777777" w:rsidR="00595CBE" w:rsidRDefault="00595CBE" w:rsidP="00D77E84">
      <w:pPr>
        <w:pStyle w:val="NoSpacing"/>
        <w:jc w:val="center"/>
      </w:pPr>
    </w:p>
    <w:p w14:paraId="6D99A320" w14:textId="77777777" w:rsidR="00595CBE" w:rsidRDefault="00595CBE" w:rsidP="00D77E84">
      <w:pPr>
        <w:pStyle w:val="NoSpacing"/>
        <w:jc w:val="center"/>
      </w:pPr>
    </w:p>
    <w:p w14:paraId="3A13F857" w14:textId="77777777" w:rsidR="00D77E84" w:rsidRDefault="00D77E84" w:rsidP="00D77E84">
      <w:pPr>
        <w:pStyle w:val="NoSpacing"/>
        <w:jc w:val="center"/>
      </w:pPr>
    </w:p>
    <w:p w14:paraId="2B2AE2DF" w14:textId="77777777" w:rsidR="00D77E84" w:rsidRDefault="00D77E84" w:rsidP="00D77E84">
      <w:pPr>
        <w:pStyle w:val="NoSpacing"/>
        <w:jc w:val="center"/>
      </w:pPr>
    </w:p>
    <w:p w14:paraId="274E4082" w14:textId="77777777" w:rsidR="00D77E84" w:rsidRDefault="00D77E84" w:rsidP="00D77E84">
      <w:pPr>
        <w:pStyle w:val="NoSpacing"/>
        <w:jc w:val="center"/>
      </w:pPr>
    </w:p>
    <w:p w14:paraId="000D7740" w14:textId="77777777" w:rsidR="00D77E84" w:rsidRDefault="00D77E84" w:rsidP="00D77E84">
      <w:pPr>
        <w:pStyle w:val="NoSpacing"/>
        <w:jc w:val="center"/>
      </w:pPr>
    </w:p>
    <w:p w14:paraId="1FA47252" w14:textId="77777777" w:rsidR="00D316FA" w:rsidRDefault="00D316FA" w:rsidP="00D77E84">
      <w:pPr>
        <w:pStyle w:val="NoSpacing"/>
        <w:jc w:val="center"/>
      </w:pPr>
    </w:p>
    <w:p w14:paraId="02C283BE" w14:textId="77777777" w:rsidR="00D77E84" w:rsidRDefault="00D77E84" w:rsidP="00D77E84">
      <w:pPr>
        <w:pStyle w:val="NoSpacing"/>
        <w:jc w:val="center"/>
      </w:pPr>
    </w:p>
    <w:p w14:paraId="0FF8E900" w14:textId="77777777" w:rsidR="00D77E84" w:rsidRDefault="00D77E84" w:rsidP="00D77E84">
      <w:pPr>
        <w:pStyle w:val="NoSpacing"/>
        <w:jc w:val="center"/>
      </w:pPr>
    </w:p>
    <w:p w14:paraId="5B0F57CD" w14:textId="77777777" w:rsidR="00D77E84" w:rsidRDefault="00D77E84" w:rsidP="00D77E84">
      <w:pPr>
        <w:pStyle w:val="NoSpacing"/>
        <w:jc w:val="center"/>
      </w:pPr>
    </w:p>
    <w:p w14:paraId="21787429" w14:textId="1221E10B" w:rsidR="0095360F" w:rsidRDefault="0095360F" w:rsidP="00D77E84">
      <w:pPr>
        <w:pStyle w:val="NoSpacing"/>
        <w:jc w:val="center"/>
      </w:pPr>
    </w:p>
    <w:p w14:paraId="38C3199F" w14:textId="77777777" w:rsidR="00FC5F54" w:rsidRDefault="00FC5F54" w:rsidP="00D77E84">
      <w:pPr>
        <w:pStyle w:val="NoSpacing"/>
        <w:jc w:val="center"/>
      </w:pPr>
    </w:p>
    <w:p w14:paraId="250D0DFB" w14:textId="21E0ECAF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824EB3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7939">
    <w:abstractNumId w:val="2"/>
  </w:num>
  <w:num w:numId="2" w16cid:durableId="608968405">
    <w:abstractNumId w:val="0"/>
  </w:num>
  <w:num w:numId="3" w16cid:durableId="1297028174">
    <w:abstractNumId w:val="1"/>
  </w:num>
  <w:num w:numId="4" w16cid:durableId="16037986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904A0"/>
    <w:rsid w:val="0009254F"/>
    <w:rsid w:val="0009713B"/>
    <w:rsid w:val="000A24FD"/>
    <w:rsid w:val="000A7AF0"/>
    <w:rsid w:val="000D2291"/>
    <w:rsid w:val="00107F35"/>
    <w:rsid w:val="00116A7C"/>
    <w:rsid w:val="00117CEF"/>
    <w:rsid w:val="00147E23"/>
    <w:rsid w:val="00190FEC"/>
    <w:rsid w:val="001C4918"/>
    <w:rsid w:val="001C50A1"/>
    <w:rsid w:val="001D6E9A"/>
    <w:rsid w:val="001E4FF8"/>
    <w:rsid w:val="001F1BD2"/>
    <w:rsid w:val="001F2055"/>
    <w:rsid w:val="00206B6B"/>
    <w:rsid w:val="0021090B"/>
    <w:rsid w:val="00214B7D"/>
    <w:rsid w:val="002171A0"/>
    <w:rsid w:val="00245233"/>
    <w:rsid w:val="00255841"/>
    <w:rsid w:val="00275537"/>
    <w:rsid w:val="00275C92"/>
    <w:rsid w:val="00280865"/>
    <w:rsid w:val="00283596"/>
    <w:rsid w:val="002907F0"/>
    <w:rsid w:val="002925E2"/>
    <w:rsid w:val="0029584D"/>
    <w:rsid w:val="002A2930"/>
    <w:rsid w:val="002A4325"/>
    <w:rsid w:val="002B7A5F"/>
    <w:rsid w:val="002C46E3"/>
    <w:rsid w:val="002D0807"/>
    <w:rsid w:val="002D353E"/>
    <w:rsid w:val="002E0A74"/>
    <w:rsid w:val="002E5DC9"/>
    <w:rsid w:val="002F1BA3"/>
    <w:rsid w:val="00305D31"/>
    <w:rsid w:val="003322C6"/>
    <w:rsid w:val="00337EC2"/>
    <w:rsid w:val="003620BD"/>
    <w:rsid w:val="00365567"/>
    <w:rsid w:val="00372F7A"/>
    <w:rsid w:val="00374A77"/>
    <w:rsid w:val="00383DD0"/>
    <w:rsid w:val="003A64A7"/>
    <w:rsid w:val="003C15E3"/>
    <w:rsid w:val="003C26C4"/>
    <w:rsid w:val="003C3A7D"/>
    <w:rsid w:val="00435E0A"/>
    <w:rsid w:val="0044065E"/>
    <w:rsid w:val="004450A8"/>
    <w:rsid w:val="0046223F"/>
    <w:rsid w:val="004732B0"/>
    <w:rsid w:val="004843EF"/>
    <w:rsid w:val="00492687"/>
    <w:rsid w:val="004A257D"/>
    <w:rsid w:val="004B572E"/>
    <w:rsid w:val="004B60CD"/>
    <w:rsid w:val="004C24FD"/>
    <w:rsid w:val="004C2ABB"/>
    <w:rsid w:val="004C524E"/>
    <w:rsid w:val="004D2483"/>
    <w:rsid w:val="004F1F3F"/>
    <w:rsid w:val="00502D41"/>
    <w:rsid w:val="005111A9"/>
    <w:rsid w:val="00512747"/>
    <w:rsid w:val="005128B7"/>
    <w:rsid w:val="0053226D"/>
    <w:rsid w:val="005379B8"/>
    <w:rsid w:val="00565B03"/>
    <w:rsid w:val="00573A9D"/>
    <w:rsid w:val="00584AFB"/>
    <w:rsid w:val="00585A9E"/>
    <w:rsid w:val="00595CBE"/>
    <w:rsid w:val="00596900"/>
    <w:rsid w:val="005C111D"/>
    <w:rsid w:val="005C2B43"/>
    <w:rsid w:val="00604634"/>
    <w:rsid w:val="00611834"/>
    <w:rsid w:val="00641287"/>
    <w:rsid w:val="006702E8"/>
    <w:rsid w:val="006815FB"/>
    <w:rsid w:val="00683B7F"/>
    <w:rsid w:val="00683F37"/>
    <w:rsid w:val="0069501B"/>
    <w:rsid w:val="00695550"/>
    <w:rsid w:val="006B7D8A"/>
    <w:rsid w:val="006D1057"/>
    <w:rsid w:val="006D6DC5"/>
    <w:rsid w:val="006F3D8B"/>
    <w:rsid w:val="006F7328"/>
    <w:rsid w:val="0071594C"/>
    <w:rsid w:val="00755B60"/>
    <w:rsid w:val="00757E23"/>
    <w:rsid w:val="00762725"/>
    <w:rsid w:val="00772D0F"/>
    <w:rsid w:val="00774492"/>
    <w:rsid w:val="00780D4E"/>
    <w:rsid w:val="00781454"/>
    <w:rsid w:val="007B7F64"/>
    <w:rsid w:val="007C1BBE"/>
    <w:rsid w:val="007C5E25"/>
    <w:rsid w:val="007D3FB6"/>
    <w:rsid w:val="007E216B"/>
    <w:rsid w:val="007F505C"/>
    <w:rsid w:val="008124BA"/>
    <w:rsid w:val="008179E0"/>
    <w:rsid w:val="00824EB3"/>
    <w:rsid w:val="00830810"/>
    <w:rsid w:val="008504D1"/>
    <w:rsid w:val="0086423D"/>
    <w:rsid w:val="00865B6A"/>
    <w:rsid w:val="008727A6"/>
    <w:rsid w:val="00873C8A"/>
    <w:rsid w:val="008B3945"/>
    <w:rsid w:val="008D35B2"/>
    <w:rsid w:val="0092598C"/>
    <w:rsid w:val="00932936"/>
    <w:rsid w:val="009368F3"/>
    <w:rsid w:val="0095360F"/>
    <w:rsid w:val="00965E63"/>
    <w:rsid w:val="009730FA"/>
    <w:rsid w:val="0098039C"/>
    <w:rsid w:val="0099577B"/>
    <w:rsid w:val="009C238E"/>
    <w:rsid w:val="009E41AA"/>
    <w:rsid w:val="009E6F5A"/>
    <w:rsid w:val="009F5AF9"/>
    <w:rsid w:val="00A01096"/>
    <w:rsid w:val="00A0183B"/>
    <w:rsid w:val="00A03EC7"/>
    <w:rsid w:val="00A17976"/>
    <w:rsid w:val="00A2049E"/>
    <w:rsid w:val="00A32493"/>
    <w:rsid w:val="00A33CFD"/>
    <w:rsid w:val="00A448F1"/>
    <w:rsid w:val="00A61B9A"/>
    <w:rsid w:val="00A63996"/>
    <w:rsid w:val="00A81904"/>
    <w:rsid w:val="00A94306"/>
    <w:rsid w:val="00AA1962"/>
    <w:rsid w:val="00AB1155"/>
    <w:rsid w:val="00AE304D"/>
    <w:rsid w:val="00AE676E"/>
    <w:rsid w:val="00AF4CEF"/>
    <w:rsid w:val="00B02325"/>
    <w:rsid w:val="00B07125"/>
    <w:rsid w:val="00B1078E"/>
    <w:rsid w:val="00B11018"/>
    <w:rsid w:val="00B42FD2"/>
    <w:rsid w:val="00B50434"/>
    <w:rsid w:val="00B544C5"/>
    <w:rsid w:val="00B57F77"/>
    <w:rsid w:val="00B64533"/>
    <w:rsid w:val="00B81340"/>
    <w:rsid w:val="00B85C44"/>
    <w:rsid w:val="00B96E18"/>
    <w:rsid w:val="00BA34FD"/>
    <w:rsid w:val="00BB228D"/>
    <w:rsid w:val="00BB2931"/>
    <w:rsid w:val="00BD4372"/>
    <w:rsid w:val="00BD4B8D"/>
    <w:rsid w:val="00C04904"/>
    <w:rsid w:val="00C11725"/>
    <w:rsid w:val="00C22995"/>
    <w:rsid w:val="00C52C42"/>
    <w:rsid w:val="00C56724"/>
    <w:rsid w:val="00C73C5E"/>
    <w:rsid w:val="00C966E1"/>
    <w:rsid w:val="00CB3C67"/>
    <w:rsid w:val="00CC0EFF"/>
    <w:rsid w:val="00CC5C30"/>
    <w:rsid w:val="00CC7B23"/>
    <w:rsid w:val="00CD5303"/>
    <w:rsid w:val="00CD62DF"/>
    <w:rsid w:val="00CE26BD"/>
    <w:rsid w:val="00D05E99"/>
    <w:rsid w:val="00D15420"/>
    <w:rsid w:val="00D15C7B"/>
    <w:rsid w:val="00D22E65"/>
    <w:rsid w:val="00D24B50"/>
    <w:rsid w:val="00D316FA"/>
    <w:rsid w:val="00D55EA4"/>
    <w:rsid w:val="00D573D8"/>
    <w:rsid w:val="00D60E82"/>
    <w:rsid w:val="00D77E84"/>
    <w:rsid w:val="00D80639"/>
    <w:rsid w:val="00DA4F76"/>
    <w:rsid w:val="00DA5774"/>
    <w:rsid w:val="00DB3970"/>
    <w:rsid w:val="00DC616A"/>
    <w:rsid w:val="00DD1DDC"/>
    <w:rsid w:val="00DE1808"/>
    <w:rsid w:val="00DE4730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54FA3"/>
    <w:rsid w:val="00E60A6A"/>
    <w:rsid w:val="00E631FF"/>
    <w:rsid w:val="00E82278"/>
    <w:rsid w:val="00EA0CB5"/>
    <w:rsid w:val="00EB5DB1"/>
    <w:rsid w:val="00ED2A77"/>
    <w:rsid w:val="00EF0890"/>
    <w:rsid w:val="00EF2D93"/>
    <w:rsid w:val="00F0228C"/>
    <w:rsid w:val="00F0632F"/>
    <w:rsid w:val="00F0661D"/>
    <w:rsid w:val="00F27295"/>
    <w:rsid w:val="00F27319"/>
    <w:rsid w:val="00F30F92"/>
    <w:rsid w:val="00F47CB9"/>
    <w:rsid w:val="00F52201"/>
    <w:rsid w:val="00F53E85"/>
    <w:rsid w:val="00F56296"/>
    <w:rsid w:val="00F62EA0"/>
    <w:rsid w:val="00F64F45"/>
    <w:rsid w:val="00F66C15"/>
    <w:rsid w:val="00F7132B"/>
    <w:rsid w:val="00F8615B"/>
    <w:rsid w:val="00FB69F5"/>
    <w:rsid w:val="00FC1F83"/>
    <w:rsid w:val="00FC3F9D"/>
    <w:rsid w:val="00FC40D9"/>
    <w:rsid w:val="00FC5F54"/>
    <w:rsid w:val="00FC7DFC"/>
    <w:rsid w:val="00FD146F"/>
    <w:rsid w:val="00FD6496"/>
    <w:rsid w:val="00FD7D32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506F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7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154C-42E5-4D70-9C5E-AAFC3402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2018-07-16T16:33:00Z</cp:lastPrinted>
  <dcterms:created xsi:type="dcterms:W3CDTF">2024-09-18T14:23:00Z</dcterms:created>
  <dcterms:modified xsi:type="dcterms:W3CDTF">2024-09-18T14:23:00Z</dcterms:modified>
</cp:coreProperties>
</file>