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44" w:rsidRPr="00331744" w:rsidRDefault="00331744" w:rsidP="009A0C93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331744">
        <w:rPr>
          <w:rFonts w:asciiTheme="majorHAnsi" w:hAnsiTheme="majorHAnsi"/>
          <w:b/>
          <w:sz w:val="44"/>
          <w:szCs w:val="44"/>
        </w:rPr>
        <w:t>Recycling Program</w:t>
      </w:r>
      <w:bookmarkStart w:id="0" w:name="_GoBack"/>
      <w:bookmarkEnd w:id="0"/>
    </w:p>
    <w:p w:rsidR="00331744" w:rsidRPr="00331744" w:rsidRDefault="00331744" w:rsidP="009A0C93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331744">
        <w:rPr>
          <w:rFonts w:asciiTheme="majorHAnsi" w:hAnsiTheme="majorHAnsi"/>
          <w:b/>
          <w:sz w:val="44"/>
          <w:szCs w:val="44"/>
        </w:rPr>
        <w:t>Proposal for Employees</w:t>
      </w:r>
    </w:p>
    <w:p w:rsidR="00331744" w:rsidRDefault="00331744" w:rsidP="009A0C9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31744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140919" cy="194323"/>
            <wp:effectExtent l="19050" t="0" r="2081" b="0"/>
            <wp:docPr id="3" name="Picture 3" descr="Sustainability at Missouri State Univers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ainability at Missouri State Univers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05" cy="19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5943600"/>
            <wp:effectExtent l="19050" t="0" r="0" b="0"/>
            <wp:docPr id="15" name="Picture 15" descr="C:\Users\Cedric Egbers\AppData\Local\Microsoft\Windows\Temporary Internet Files\Content.IE5\XK6X15NK\MPj043732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edric Egbers\AppData\Local\Microsoft\Windows\Temporary Internet Files\Content.IE5\XK6X15NK\MPj0437329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44" w:rsidRDefault="00331744" w:rsidP="00057726">
      <w:pPr>
        <w:spacing w:after="0"/>
        <w:rPr>
          <w:rFonts w:asciiTheme="majorHAnsi" w:hAnsiTheme="majorHAnsi"/>
          <w:sz w:val="24"/>
          <w:szCs w:val="24"/>
        </w:rPr>
      </w:pPr>
    </w:p>
    <w:p w:rsidR="009A0C93" w:rsidRDefault="009A0C93" w:rsidP="00A36E7E">
      <w:pPr>
        <w:spacing w:after="0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Missouri State University</w:t>
      </w:r>
    </w:p>
    <w:p w:rsidR="00A36E7E" w:rsidRDefault="00A36E7E" w:rsidP="00A36E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36E7E" w:rsidRPr="00A36E7E" w:rsidRDefault="00A36E7E" w:rsidP="00A36E7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36E7E" w:rsidRPr="00442C6E" w:rsidRDefault="00A36E7E" w:rsidP="009A0C9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42C6E">
        <w:rPr>
          <w:rFonts w:asciiTheme="majorHAnsi" w:hAnsiTheme="majorHAnsi"/>
          <w:b/>
          <w:sz w:val="24"/>
          <w:szCs w:val="24"/>
          <w:u w:val="single"/>
        </w:rPr>
        <w:lastRenderedPageBreak/>
        <w:t>Sponsors</w:t>
      </w:r>
    </w:p>
    <w:p w:rsidR="009A0C93" w:rsidRPr="00442C6E" w:rsidRDefault="00A36E7E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Mackenzie Keller</w:t>
      </w:r>
    </w:p>
    <w:p w:rsidR="00A36E7E" w:rsidRPr="00442C6E" w:rsidRDefault="00A36E7E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President</w:t>
      </w:r>
    </w:p>
    <w:p w:rsidR="00057726" w:rsidRPr="00442C6E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The Horticulture Club</w:t>
      </w:r>
    </w:p>
    <w:p w:rsidR="009A0C93" w:rsidRPr="00442C6E" w:rsidRDefault="009A0C93" w:rsidP="009A0C93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901 South National Avenue</w:t>
      </w:r>
    </w:p>
    <w:p w:rsidR="009A0C93" w:rsidRPr="00442C6E" w:rsidRDefault="009A0C93" w:rsidP="009A0C93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Springfield, Missouri 65897</w:t>
      </w:r>
    </w:p>
    <w:p w:rsidR="009A0C93" w:rsidRPr="00442C6E" w:rsidRDefault="00A36E7E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417.349.1459</w:t>
      </w:r>
    </w:p>
    <w:p w:rsidR="00A36E7E" w:rsidRPr="00442C6E" w:rsidRDefault="004B6914" w:rsidP="00057726">
      <w:pPr>
        <w:spacing w:after="0"/>
        <w:rPr>
          <w:rFonts w:asciiTheme="majorHAnsi" w:hAnsiTheme="majorHAnsi"/>
          <w:sz w:val="24"/>
          <w:szCs w:val="24"/>
        </w:rPr>
      </w:pPr>
      <w:hyperlink r:id="rId8" w:history="1">
        <w:r w:rsidR="00016E44" w:rsidRPr="00442C6E">
          <w:rPr>
            <w:rStyle w:val="Hyperlink"/>
            <w:rFonts w:asciiTheme="majorHAnsi" w:hAnsiTheme="majorHAnsi"/>
            <w:color w:val="auto"/>
            <w:sz w:val="24"/>
            <w:szCs w:val="24"/>
          </w:rPr>
          <w:t>MKeller@Missouristate.edu</w:t>
        </w:r>
      </w:hyperlink>
      <w:r w:rsidR="00016E44" w:rsidRPr="00442C6E">
        <w:rPr>
          <w:rFonts w:asciiTheme="majorHAnsi" w:hAnsiTheme="majorHAnsi"/>
          <w:sz w:val="24"/>
          <w:szCs w:val="24"/>
        </w:rPr>
        <w:t xml:space="preserve"> </w:t>
      </w:r>
    </w:p>
    <w:p w:rsidR="009A0C93" w:rsidRPr="00442C6E" w:rsidRDefault="009A0C93" w:rsidP="00057726">
      <w:pPr>
        <w:spacing w:after="0"/>
        <w:rPr>
          <w:rFonts w:asciiTheme="majorHAnsi" w:hAnsiTheme="majorHAnsi"/>
          <w:sz w:val="24"/>
          <w:szCs w:val="24"/>
        </w:rPr>
      </w:pPr>
    </w:p>
    <w:p w:rsidR="00057726" w:rsidRPr="00442C6E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Cedric A. Egbers</w:t>
      </w:r>
    </w:p>
    <w:p w:rsidR="00A36E7E" w:rsidRPr="00442C6E" w:rsidRDefault="00A36E7E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Project Manager</w:t>
      </w:r>
    </w:p>
    <w:p w:rsidR="00057726" w:rsidRPr="00442C6E" w:rsidRDefault="009A0C93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807 State Highway B</w:t>
      </w:r>
    </w:p>
    <w:p w:rsidR="009A0C93" w:rsidRPr="00442C6E" w:rsidRDefault="009A0C93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Rogersville, Missouri 65742</w:t>
      </w:r>
    </w:p>
    <w:p w:rsidR="009A0C93" w:rsidRPr="00442C6E" w:rsidRDefault="009A0C93" w:rsidP="00057726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417.761.2956</w:t>
      </w:r>
    </w:p>
    <w:p w:rsidR="00A36E7E" w:rsidRPr="00442C6E" w:rsidRDefault="004B6914" w:rsidP="00057726">
      <w:pPr>
        <w:spacing w:after="0"/>
        <w:rPr>
          <w:rFonts w:asciiTheme="majorHAnsi" w:hAnsiTheme="majorHAnsi"/>
          <w:sz w:val="24"/>
          <w:szCs w:val="24"/>
        </w:rPr>
      </w:pPr>
      <w:hyperlink r:id="rId9" w:history="1">
        <w:r w:rsidR="00016E44" w:rsidRPr="00442C6E">
          <w:rPr>
            <w:rStyle w:val="Hyperlink"/>
            <w:rFonts w:asciiTheme="majorHAnsi" w:hAnsiTheme="majorHAnsi"/>
            <w:color w:val="auto"/>
            <w:sz w:val="24"/>
            <w:szCs w:val="24"/>
          </w:rPr>
          <w:t>Cedric999@live.MissourState.edu</w:t>
        </w:r>
      </w:hyperlink>
    </w:p>
    <w:p w:rsidR="00016E44" w:rsidRPr="00442C6E" w:rsidRDefault="00016E44" w:rsidP="00057726">
      <w:pPr>
        <w:spacing w:after="0"/>
        <w:rPr>
          <w:rFonts w:asciiTheme="majorHAnsi" w:hAnsiTheme="majorHAnsi"/>
          <w:sz w:val="24"/>
          <w:szCs w:val="24"/>
        </w:rPr>
      </w:pPr>
    </w:p>
    <w:p w:rsidR="00016E44" w:rsidRPr="00442C6E" w:rsidRDefault="00016E44" w:rsidP="0005772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42C6E">
        <w:rPr>
          <w:rFonts w:asciiTheme="majorHAnsi" w:hAnsiTheme="majorHAnsi"/>
          <w:b/>
          <w:sz w:val="24"/>
          <w:szCs w:val="24"/>
          <w:u w:val="single"/>
        </w:rPr>
        <w:t>Advisor</w:t>
      </w:r>
    </w:p>
    <w:p w:rsidR="00016E44" w:rsidRPr="00442C6E" w:rsidRDefault="00016E44" w:rsidP="00016E44">
      <w:pPr>
        <w:spacing w:after="0"/>
        <w:rPr>
          <w:rFonts w:asciiTheme="majorHAnsi" w:hAnsiTheme="majorHAnsi"/>
          <w:b/>
          <w:sz w:val="72"/>
          <w:szCs w:val="72"/>
        </w:rPr>
      </w:pPr>
      <w:r w:rsidRPr="00442C6E">
        <w:rPr>
          <w:rFonts w:asciiTheme="majorHAnsi" w:hAnsiTheme="majorHAnsi"/>
          <w:sz w:val="24"/>
          <w:szCs w:val="24"/>
        </w:rPr>
        <w:t>Mr. Jeffery D. Brown</w:t>
      </w:r>
    </w:p>
    <w:p w:rsidR="00016E44" w:rsidRPr="00442C6E" w:rsidRDefault="00016E44" w:rsidP="00016E44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Sustainability Coordinator</w:t>
      </w:r>
    </w:p>
    <w:p w:rsidR="00016E44" w:rsidRPr="00442C6E" w:rsidRDefault="00016E44" w:rsidP="00016E44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Environmental Management</w:t>
      </w:r>
    </w:p>
    <w:p w:rsidR="00016E44" w:rsidRPr="00442C6E" w:rsidRDefault="00016E44" w:rsidP="00016E44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901 South National Avenue</w:t>
      </w:r>
    </w:p>
    <w:p w:rsidR="00016E44" w:rsidRPr="00442C6E" w:rsidRDefault="00016E44" w:rsidP="00016E44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Springfield, Missouri 65897</w:t>
      </w:r>
    </w:p>
    <w:p w:rsidR="00016E44" w:rsidRPr="00442C6E" w:rsidRDefault="00016E44" w:rsidP="00016E44">
      <w:pPr>
        <w:spacing w:after="0"/>
        <w:rPr>
          <w:rFonts w:asciiTheme="majorHAnsi" w:hAnsiTheme="majorHAnsi"/>
          <w:sz w:val="24"/>
          <w:szCs w:val="24"/>
        </w:rPr>
      </w:pPr>
      <w:r w:rsidRPr="00442C6E">
        <w:rPr>
          <w:rFonts w:asciiTheme="majorHAnsi" w:hAnsiTheme="majorHAnsi"/>
          <w:sz w:val="24"/>
          <w:szCs w:val="24"/>
        </w:rPr>
        <w:t>417.425.9222</w:t>
      </w:r>
      <w:r w:rsidRPr="00442C6E">
        <w:rPr>
          <w:rFonts w:asciiTheme="majorHAnsi" w:hAnsiTheme="majorHAnsi"/>
          <w:sz w:val="24"/>
          <w:szCs w:val="24"/>
        </w:rPr>
        <w:tab/>
      </w:r>
    </w:p>
    <w:p w:rsidR="00016E44" w:rsidRPr="00442C6E" w:rsidRDefault="004B6914" w:rsidP="00016E44">
      <w:pPr>
        <w:spacing w:after="0"/>
        <w:rPr>
          <w:rFonts w:asciiTheme="majorHAnsi" w:hAnsiTheme="majorHAnsi"/>
          <w:sz w:val="24"/>
          <w:szCs w:val="24"/>
        </w:rPr>
      </w:pPr>
      <w:hyperlink r:id="rId10" w:history="1">
        <w:r w:rsidR="00500EED" w:rsidRPr="00442C6E">
          <w:rPr>
            <w:rStyle w:val="Hyperlink"/>
            <w:rFonts w:asciiTheme="majorHAnsi" w:hAnsiTheme="majorHAnsi"/>
            <w:color w:val="auto"/>
            <w:sz w:val="24"/>
            <w:szCs w:val="24"/>
          </w:rPr>
          <w:t>JBrown@MissouriState.edu</w:t>
        </w:r>
      </w:hyperlink>
      <w:r w:rsidR="00500EED" w:rsidRPr="00442C6E">
        <w:rPr>
          <w:rFonts w:asciiTheme="majorHAnsi" w:hAnsiTheme="majorHAnsi"/>
          <w:sz w:val="24"/>
          <w:szCs w:val="24"/>
        </w:rPr>
        <w:t xml:space="preserve"> </w:t>
      </w:r>
    </w:p>
    <w:p w:rsidR="00A36E7E" w:rsidRDefault="00A36E7E" w:rsidP="00057726">
      <w:pPr>
        <w:spacing w:after="0"/>
        <w:rPr>
          <w:rFonts w:asciiTheme="majorHAnsi" w:hAnsiTheme="majorHAnsi"/>
          <w:sz w:val="24"/>
          <w:szCs w:val="24"/>
        </w:rPr>
      </w:pPr>
    </w:p>
    <w:p w:rsidR="00057726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Government Association</w:t>
      </w:r>
    </w:p>
    <w:p w:rsidR="00057726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Student Sustainability Commission </w:t>
      </w:r>
    </w:p>
    <w:p w:rsidR="00057726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901 South National Avenue</w:t>
      </w:r>
    </w:p>
    <w:p w:rsidR="00057726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Springfield, Missouri 65897</w:t>
      </w:r>
    </w:p>
    <w:p w:rsidR="00057726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</w:p>
    <w:p w:rsidR="00057726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 Student Sustainability Commission:</w:t>
      </w:r>
    </w:p>
    <w:p w:rsidR="00057726" w:rsidRDefault="00057726" w:rsidP="00057726">
      <w:pPr>
        <w:spacing w:after="0"/>
        <w:rPr>
          <w:rFonts w:asciiTheme="majorHAnsi" w:hAnsiTheme="majorHAnsi"/>
          <w:sz w:val="24"/>
          <w:szCs w:val="24"/>
        </w:rPr>
      </w:pPr>
    </w:p>
    <w:p w:rsidR="00964415" w:rsidRDefault="00964415" w:rsidP="0005772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applaud the effort and concern being given to sustainability.  </w:t>
      </w:r>
      <w:r w:rsidR="00157353">
        <w:rPr>
          <w:color w:val="000000" w:themeColor="text1"/>
          <w:sz w:val="24"/>
          <w:szCs w:val="24"/>
        </w:rPr>
        <w:t xml:space="preserve">We wish to increase the effectiveness of the campus recycling program by assigning student employees part time jobs maintaining the functionality of </w:t>
      </w:r>
      <w:r w:rsidR="00B76290">
        <w:rPr>
          <w:color w:val="000000" w:themeColor="text1"/>
          <w:sz w:val="24"/>
          <w:szCs w:val="24"/>
        </w:rPr>
        <w:t>the</w:t>
      </w:r>
      <w:r w:rsidR="00157353">
        <w:rPr>
          <w:color w:val="000000" w:themeColor="text1"/>
          <w:sz w:val="24"/>
          <w:szCs w:val="24"/>
        </w:rPr>
        <w:t xml:space="preserve"> process. </w:t>
      </w:r>
    </w:p>
    <w:p w:rsidR="00964415" w:rsidRDefault="00964415" w:rsidP="00057726">
      <w:pPr>
        <w:spacing w:after="0"/>
        <w:rPr>
          <w:color w:val="000000" w:themeColor="text1"/>
          <w:sz w:val="24"/>
          <w:szCs w:val="24"/>
        </w:rPr>
      </w:pPr>
    </w:p>
    <w:p w:rsidR="00157353" w:rsidRPr="00157353" w:rsidRDefault="00157353" w:rsidP="00057726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57353">
        <w:rPr>
          <w:rFonts w:asciiTheme="majorHAnsi" w:hAnsiTheme="majorHAnsi"/>
          <w:b/>
          <w:color w:val="000000" w:themeColor="text1"/>
          <w:sz w:val="24"/>
          <w:szCs w:val="24"/>
        </w:rPr>
        <w:t>Objective</w:t>
      </w:r>
    </w:p>
    <w:p w:rsidR="00ED52FF" w:rsidRDefault="00B76290" w:rsidP="0005772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Several 40 gallon and 20 gallon containers have already been purchased with grant money.  There are</w:t>
      </w:r>
      <w:r w:rsidR="00283F35">
        <w:rPr>
          <w:color w:val="000000" w:themeColor="text1"/>
          <w:sz w:val="24"/>
          <w:szCs w:val="24"/>
        </w:rPr>
        <w:t xml:space="preserve"> several</w:t>
      </w:r>
      <w:r>
        <w:rPr>
          <w:color w:val="000000" w:themeColor="text1"/>
          <w:sz w:val="24"/>
          <w:szCs w:val="24"/>
        </w:rPr>
        <w:t xml:space="preserve"> 40 gallon garbage, 40 gallon co-mingled (glass, plastic, aluminum), and 20 </w:t>
      </w:r>
      <w:r>
        <w:rPr>
          <w:color w:val="000000" w:themeColor="text1"/>
          <w:sz w:val="24"/>
          <w:szCs w:val="24"/>
        </w:rPr>
        <w:lastRenderedPageBreak/>
        <w:t xml:space="preserve">gallon paper </w:t>
      </w:r>
      <w:r w:rsidR="00283F35">
        <w:rPr>
          <w:color w:val="000000" w:themeColor="text1"/>
          <w:sz w:val="24"/>
          <w:szCs w:val="24"/>
        </w:rPr>
        <w:t>containers</w:t>
      </w:r>
      <w:r>
        <w:rPr>
          <w:color w:val="000000" w:themeColor="text1"/>
          <w:sz w:val="24"/>
          <w:szCs w:val="24"/>
        </w:rPr>
        <w:t xml:space="preserve"> that are ready to </w:t>
      </w:r>
      <w:r w:rsidR="00157353">
        <w:rPr>
          <w:color w:val="000000" w:themeColor="text1"/>
          <w:sz w:val="24"/>
          <w:szCs w:val="24"/>
        </w:rPr>
        <w:t>be deployed in various buildings throughout campus.</w:t>
      </w:r>
      <w:r w:rsidR="00B9053B">
        <w:rPr>
          <w:color w:val="000000" w:themeColor="text1"/>
          <w:sz w:val="24"/>
          <w:szCs w:val="24"/>
        </w:rPr>
        <w:t xml:space="preserve">  Some 20 gallon comingled containers have been in place in Siceluff Hall.  They are to be removed by the student employees and converted into 20 gallon paper containers, then re-deployed onto campus.  </w:t>
      </w:r>
    </w:p>
    <w:p w:rsidR="00ED52FF" w:rsidRDefault="00ED52FF" w:rsidP="00057726">
      <w:pPr>
        <w:spacing w:after="0"/>
        <w:rPr>
          <w:color w:val="000000" w:themeColor="text1"/>
          <w:sz w:val="24"/>
          <w:szCs w:val="24"/>
        </w:rPr>
      </w:pPr>
    </w:p>
    <w:p w:rsidR="00FE33B0" w:rsidRDefault="00B9053B" w:rsidP="0005772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Once the containers</w:t>
      </w:r>
      <w:r w:rsidR="00157353">
        <w:rPr>
          <w:color w:val="000000" w:themeColor="text1"/>
          <w:sz w:val="24"/>
          <w:szCs w:val="24"/>
        </w:rPr>
        <w:t xml:space="preserve"> are full, t</w:t>
      </w:r>
      <w:r w:rsidR="00964415" w:rsidRPr="00964415">
        <w:rPr>
          <w:color w:val="000000" w:themeColor="text1"/>
          <w:sz w:val="24"/>
          <w:szCs w:val="24"/>
        </w:rPr>
        <w:t>he recyclable materials within must be removed</w:t>
      </w:r>
      <w:r w:rsidR="00B76290">
        <w:rPr>
          <w:color w:val="000000" w:themeColor="text1"/>
          <w:sz w:val="24"/>
          <w:szCs w:val="24"/>
        </w:rPr>
        <w:t xml:space="preserve"> </w:t>
      </w:r>
      <w:r w:rsidR="00964415" w:rsidRPr="00964415">
        <w:rPr>
          <w:color w:val="000000" w:themeColor="text1"/>
          <w:sz w:val="24"/>
          <w:szCs w:val="24"/>
        </w:rPr>
        <w:t>and transported.</w:t>
      </w:r>
      <w:r w:rsidR="00B76290">
        <w:rPr>
          <w:color w:val="000000" w:themeColor="text1"/>
          <w:sz w:val="24"/>
          <w:szCs w:val="24"/>
        </w:rPr>
        <w:t xml:space="preserve">  Campus vehicles w</w:t>
      </w:r>
      <w:r>
        <w:rPr>
          <w:color w:val="000000" w:themeColor="text1"/>
          <w:sz w:val="24"/>
          <w:szCs w:val="24"/>
        </w:rPr>
        <w:t>ill</w:t>
      </w:r>
      <w:r w:rsidR="00B76290">
        <w:rPr>
          <w:color w:val="000000" w:themeColor="text1"/>
          <w:sz w:val="24"/>
          <w:szCs w:val="24"/>
        </w:rPr>
        <w:t xml:space="preserve"> be used to move the materials from main campus to central custodial.</w:t>
      </w:r>
      <w:r w:rsidR="00964415" w:rsidRPr="00964415">
        <w:rPr>
          <w:color w:val="000000" w:themeColor="text1"/>
          <w:sz w:val="24"/>
          <w:szCs w:val="24"/>
        </w:rPr>
        <w:t xml:space="preserve">  The bags within these containers must be replaced, and sanitization of the container may be necessary.  </w:t>
      </w:r>
      <w:r w:rsidR="00964415">
        <w:rPr>
          <w:color w:val="000000" w:themeColor="text1"/>
          <w:sz w:val="24"/>
          <w:szCs w:val="24"/>
        </w:rPr>
        <w:t>Thi</w:t>
      </w:r>
      <w:r>
        <w:rPr>
          <w:color w:val="000000" w:themeColor="text1"/>
          <w:sz w:val="24"/>
          <w:szCs w:val="24"/>
        </w:rPr>
        <w:t>s situation allows students</w:t>
      </w:r>
      <w:r w:rsidR="00964415">
        <w:rPr>
          <w:color w:val="000000" w:themeColor="text1"/>
          <w:sz w:val="24"/>
          <w:szCs w:val="24"/>
        </w:rPr>
        <w:t xml:space="preserve"> a campus employment opportunity.  </w:t>
      </w:r>
    </w:p>
    <w:p w:rsidR="00FE33B0" w:rsidRDefault="00FE33B0" w:rsidP="00057726">
      <w:pPr>
        <w:spacing w:after="0"/>
        <w:rPr>
          <w:color w:val="000000" w:themeColor="text1"/>
          <w:sz w:val="24"/>
          <w:szCs w:val="24"/>
        </w:rPr>
      </w:pPr>
    </w:p>
    <w:p w:rsidR="000954E2" w:rsidRDefault="00FE33B0" w:rsidP="0005772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$7.25 per hour would be the appropriate wage for two student workers to work </w:t>
      </w:r>
      <w:r w:rsidR="0064179B">
        <w:rPr>
          <w:color w:val="000000" w:themeColor="text1"/>
          <w:sz w:val="24"/>
          <w:szCs w:val="24"/>
        </w:rPr>
        <w:t xml:space="preserve">20 </w:t>
      </w:r>
      <w:r>
        <w:rPr>
          <w:color w:val="000000" w:themeColor="text1"/>
          <w:sz w:val="24"/>
          <w:szCs w:val="24"/>
        </w:rPr>
        <w:t>hours per week</w:t>
      </w:r>
      <w:r w:rsidR="0064179B">
        <w:rPr>
          <w:color w:val="000000" w:themeColor="text1"/>
          <w:sz w:val="24"/>
          <w:szCs w:val="24"/>
        </w:rPr>
        <w:t>.</w:t>
      </w:r>
      <w:r w:rsidR="00500EED">
        <w:rPr>
          <w:color w:val="000000" w:themeColor="text1"/>
          <w:sz w:val="24"/>
          <w:szCs w:val="24"/>
        </w:rPr>
        <w:t xml:space="preserve"> </w:t>
      </w:r>
      <w:r w:rsidR="0064179B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This would result in a weekly cost of $</w:t>
      </w:r>
      <w:r w:rsidR="0064179B">
        <w:rPr>
          <w:color w:val="000000" w:themeColor="text1"/>
          <w:sz w:val="24"/>
          <w:szCs w:val="24"/>
        </w:rPr>
        <w:t>290</w:t>
      </w:r>
      <w:r>
        <w:rPr>
          <w:color w:val="000000" w:themeColor="text1"/>
          <w:sz w:val="24"/>
          <w:szCs w:val="24"/>
        </w:rPr>
        <w:t xml:space="preserve">, a monthly cost of </w:t>
      </w:r>
      <w:r w:rsidR="007E2048">
        <w:rPr>
          <w:color w:val="000000" w:themeColor="text1"/>
          <w:sz w:val="24"/>
          <w:szCs w:val="24"/>
        </w:rPr>
        <w:t>$</w:t>
      </w:r>
      <w:r w:rsidR="0064179B">
        <w:rPr>
          <w:color w:val="000000" w:themeColor="text1"/>
          <w:sz w:val="24"/>
          <w:szCs w:val="24"/>
        </w:rPr>
        <w:t xml:space="preserve">1160 </w:t>
      </w:r>
      <w:r w:rsidR="007E2048">
        <w:rPr>
          <w:color w:val="000000" w:themeColor="text1"/>
          <w:sz w:val="24"/>
          <w:szCs w:val="24"/>
        </w:rPr>
        <w:t>and an annual cost of $</w:t>
      </w:r>
      <w:r w:rsidR="0064179B">
        <w:rPr>
          <w:color w:val="000000" w:themeColor="text1"/>
          <w:sz w:val="24"/>
          <w:szCs w:val="24"/>
        </w:rPr>
        <w:t xml:space="preserve">13920 </w:t>
      </w:r>
      <w:r w:rsidR="007E2048">
        <w:rPr>
          <w:color w:val="000000" w:themeColor="text1"/>
          <w:sz w:val="24"/>
          <w:szCs w:val="24"/>
        </w:rPr>
        <w:t>for the school year</w:t>
      </w:r>
      <w:r>
        <w:rPr>
          <w:color w:val="000000" w:themeColor="text1"/>
          <w:sz w:val="24"/>
          <w:szCs w:val="24"/>
        </w:rPr>
        <w:t>.</w:t>
      </w:r>
      <w:r w:rsidR="0064179B">
        <w:rPr>
          <w:color w:val="000000" w:themeColor="text1"/>
          <w:sz w:val="24"/>
          <w:szCs w:val="24"/>
        </w:rPr>
        <w:t xml:space="preserve">  The workers would require gloves and plastic liners for the recycling bins, and we are estimating these to cost approximately $1000 annually.  </w:t>
      </w:r>
      <w:r w:rsidR="007E2048">
        <w:rPr>
          <w:color w:val="000000" w:themeColor="text1"/>
          <w:sz w:val="24"/>
          <w:szCs w:val="24"/>
        </w:rPr>
        <w:t xml:space="preserve">For the recycling program to be maintained by student employees it would cost a continuing annual fund of </w:t>
      </w:r>
      <w:r w:rsidR="0064179B">
        <w:rPr>
          <w:color w:val="000000" w:themeColor="text1"/>
          <w:sz w:val="24"/>
          <w:szCs w:val="24"/>
        </w:rPr>
        <w:t>$14920</w:t>
      </w:r>
      <w:r w:rsidR="000954E2">
        <w:rPr>
          <w:color w:val="000000" w:themeColor="text1"/>
          <w:sz w:val="24"/>
          <w:szCs w:val="24"/>
        </w:rPr>
        <w:t xml:space="preserve">.  </w:t>
      </w:r>
      <w:r w:rsidR="00B9053B">
        <w:rPr>
          <w:color w:val="000000" w:themeColor="text1"/>
          <w:sz w:val="24"/>
          <w:szCs w:val="24"/>
        </w:rPr>
        <w:t xml:space="preserve">This number is subject to change as the program may need to expand once in place.  </w:t>
      </w:r>
      <w:r w:rsidR="0064179B">
        <w:rPr>
          <w:color w:val="000000" w:themeColor="text1"/>
          <w:sz w:val="24"/>
          <w:szCs w:val="24"/>
        </w:rPr>
        <w:t xml:space="preserve">The time frame for this project is essentially indefinite.  The bins have already been paid for by grants, and further grants could be written to fund </w:t>
      </w:r>
      <w:r w:rsidR="00442C6E">
        <w:rPr>
          <w:color w:val="000000" w:themeColor="text1"/>
          <w:sz w:val="24"/>
          <w:szCs w:val="24"/>
        </w:rPr>
        <w:t>more bin purchase if necessary.</w:t>
      </w:r>
      <w:r w:rsidR="006F10DB">
        <w:rPr>
          <w:color w:val="000000" w:themeColor="text1"/>
          <w:sz w:val="24"/>
          <w:szCs w:val="24"/>
        </w:rPr>
        <w:br/>
      </w:r>
    </w:p>
    <w:p w:rsidR="006F10DB" w:rsidRPr="00442C6E" w:rsidRDefault="006F10DB" w:rsidP="00057726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42C6E">
        <w:rPr>
          <w:rFonts w:asciiTheme="majorHAnsi" w:hAnsiTheme="majorHAnsi"/>
          <w:color w:val="000000" w:themeColor="text1"/>
          <w:sz w:val="24"/>
          <w:szCs w:val="24"/>
        </w:rPr>
        <w:t xml:space="preserve">Breakdown of </w:t>
      </w:r>
      <w:r w:rsidR="00442C6E">
        <w:rPr>
          <w:rFonts w:asciiTheme="majorHAnsi" w:hAnsiTheme="majorHAnsi"/>
          <w:color w:val="000000" w:themeColor="text1"/>
          <w:sz w:val="24"/>
          <w:szCs w:val="24"/>
        </w:rPr>
        <w:t>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1260"/>
        <w:gridCol w:w="1260"/>
      </w:tblGrid>
      <w:tr w:rsidR="00442C6E" w:rsidRPr="00442C6E" w:rsidTr="00442C6E">
        <w:tc>
          <w:tcPr>
            <w:tcW w:w="2628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Weekly</w:t>
            </w:r>
          </w:p>
        </w:tc>
        <w:tc>
          <w:tcPr>
            <w:tcW w:w="135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Monthly </w:t>
            </w:r>
          </w:p>
        </w:tc>
        <w:tc>
          <w:tcPr>
            <w:tcW w:w="126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Anually</w:t>
            </w:r>
            <w:proofErr w:type="spellEnd"/>
          </w:p>
        </w:tc>
        <w:tc>
          <w:tcPr>
            <w:tcW w:w="126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42C6E" w:rsidRPr="00442C6E" w:rsidTr="00442C6E">
        <w:tc>
          <w:tcPr>
            <w:tcW w:w="2628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Student Wages</w:t>
            </w:r>
          </w:p>
        </w:tc>
        <w:tc>
          <w:tcPr>
            <w:tcW w:w="99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$290</w:t>
            </w:r>
          </w:p>
        </w:tc>
        <w:tc>
          <w:tcPr>
            <w:tcW w:w="135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$1160</w:t>
            </w:r>
          </w:p>
        </w:tc>
        <w:tc>
          <w:tcPr>
            <w:tcW w:w="126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$13920</w:t>
            </w:r>
          </w:p>
        </w:tc>
        <w:tc>
          <w:tcPr>
            <w:tcW w:w="126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$14920</w:t>
            </w:r>
          </w:p>
        </w:tc>
      </w:tr>
      <w:tr w:rsidR="00442C6E" w:rsidRPr="00442C6E" w:rsidTr="00442C6E">
        <w:tc>
          <w:tcPr>
            <w:tcW w:w="2628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Bag and Glove Ex</w:t>
            </w: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pense</w:t>
            </w:r>
          </w:p>
        </w:tc>
        <w:tc>
          <w:tcPr>
            <w:tcW w:w="99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42C6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$1000</w:t>
            </w:r>
          </w:p>
        </w:tc>
        <w:tc>
          <w:tcPr>
            <w:tcW w:w="1260" w:type="dxa"/>
          </w:tcPr>
          <w:p w:rsidR="00442C6E" w:rsidRPr="00442C6E" w:rsidRDefault="00442C6E" w:rsidP="0005772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0954E2" w:rsidRDefault="000954E2" w:rsidP="00057726">
      <w:pPr>
        <w:spacing w:after="0"/>
        <w:rPr>
          <w:color w:val="000000" w:themeColor="text1"/>
          <w:sz w:val="24"/>
          <w:szCs w:val="24"/>
        </w:rPr>
      </w:pPr>
    </w:p>
    <w:p w:rsidR="00283F35" w:rsidRDefault="00283F35" w:rsidP="00057726">
      <w:pPr>
        <w:spacing w:after="0"/>
        <w:rPr>
          <w:color w:val="000000" w:themeColor="text1"/>
          <w:sz w:val="24"/>
          <w:szCs w:val="24"/>
        </w:rPr>
      </w:pPr>
    </w:p>
    <w:p w:rsidR="00057726" w:rsidRDefault="00283F35" w:rsidP="0005772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Funding for this project would benefit the campus by allowing students to work part-time “green” jobs.  A sustainable campus environment will become more realistic as waste is reduced while the amount of materials recycled is increased.  </w:t>
      </w:r>
      <w:r w:rsidR="00B9053B">
        <w:rPr>
          <w:color w:val="000000" w:themeColor="text1"/>
          <w:sz w:val="24"/>
          <w:szCs w:val="24"/>
        </w:rPr>
        <w:t>The deployment of these new containers will increase the student body’s awareness of the campus sustainability project.</w:t>
      </w:r>
    </w:p>
    <w:p w:rsidR="00057726" w:rsidRDefault="00057726"/>
    <w:sectPr w:rsidR="00057726" w:rsidSect="003F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26"/>
    <w:rsid w:val="00016E44"/>
    <w:rsid w:val="00057726"/>
    <w:rsid w:val="000954E2"/>
    <w:rsid w:val="00157353"/>
    <w:rsid w:val="00283F35"/>
    <w:rsid w:val="00331744"/>
    <w:rsid w:val="003F1C22"/>
    <w:rsid w:val="00442C6E"/>
    <w:rsid w:val="004B6914"/>
    <w:rsid w:val="00500EED"/>
    <w:rsid w:val="0064179B"/>
    <w:rsid w:val="006D2D08"/>
    <w:rsid w:val="006F10DB"/>
    <w:rsid w:val="007E2048"/>
    <w:rsid w:val="00964415"/>
    <w:rsid w:val="009A0C93"/>
    <w:rsid w:val="00A36E7E"/>
    <w:rsid w:val="00A45778"/>
    <w:rsid w:val="00B76290"/>
    <w:rsid w:val="00B9053B"/>
    <w:rsid w:val="00C338FC"/>
    <w:rsid w:val="00CB380D"/>
    <w:rsid w:val="00ED52FF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ller@Missouri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issouristate.edu/Sustainability/default.htm" TargetMode="External"/><Relationship Id="rId10" Type="http://schemas.openxmlformats.org/officeDocument/2006/relationships/hyperlink" Target="mailto:JBrown@Missouri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ic999@live.Missour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ced999</dc:creator>
  <cp:lastModifiedBy>LMBansbach</cp:lastModifiedBy>
  <cp:revision>2</cp:revision>
  <cp:lastPrinted>2010-02-17T22:33:00Z</cp:lastPrinted>
  <dcterms:created xsi:type="dcterms:W3CDTF">2013-03-05T02:12:00Z</dcterms:created>
  <dcterms:modified xsi:type="dcterms:W3CDTF">2013-03-05T02:12:00Z</dcterms:modified>
</cp:coreProperties>
</file>